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EB8104" w14:textId="77777777" w:rsidR="00BA51E3" w:rsidRPr="00AF2AFB" w:rsidRDefault="00BA51E3" w:rsidP="00BA51E3">
      <w:pPr>
        <w:rPr>
          <w:rFonts w:cstheme="minorHAnsi"/>
        </w:rPr>
      </w:pPr>
      <w:bookmarkStart w:id="0" w:name="_Hlk33783999"/>
      <w:bookmarkEnd w:id="0"/>
    </w:p>
    <w:p w14:paraId="43FFFA0C" w14:textId="77777777" w:rsidR="006124B0" w:rsidRDefault="00A52456" w:rsidP="00C9647B">
      <w:pPr>
        <w:rPr>
          <w:rFonts w:cstheme="minorHAnsi"/>
          <w:b/>
        </w:rPr>
      </w:pPr>
      <w:r>
        <w:rPr>
          <w:rFonts w:cstheme="minorHAnsi"/>
          <w:b/>
          <w:noProof/>
        </w:rPr>
        <mc:AlternateContent>
          <mc:Choice Requires="wps">
            <w:drawing>
              <wp:anchor distT="0" distB="0" distL="114300" distR="114300" simplePos="0" relativeHeight="251658240" behindDoc="0" locked="0" layoutInCell="1" allowOverlap="1" wp14:anchorId="57B7C825" wp14:editId="7E10E625">
                <wp:simplePos x="0" y="0"/>
                <wp:positionH relativeFrom="margin">
                  <wp:align>center</wp:align>
                </wp:positionH>
                <wp:positionV relativeFrom="paragraph">
                  <wp:posOffset>1969993</wp:posOffset>
                </wp:positionV>
                <wp:extent cx="4674235" cy="1175657"/>
                <wp:effectExtent l="0" t="0" r="0" b="5715"/>
                <wp:wrapNone/>
                <wp:docPr id="2" name="Text Box 2"/>
                <wp:cNvGraphicFramePr/>
                <a:graphic xmlns:a="http://schemas.openxmlformats.org/drawingml/2006/main">
                  <a:graphicData uri="http://schemas.microsoft.com/office/word/2010/wordprocessingShape">
                    <wps:wsp>
                      <wps:cNvSpPr txBox="1"/>
                      <wps:spPr>
                        <a:xfrm>
                          <a:off x="0" y="0"/>
                          <a:ext cx="4674235" cy="1175657"/>
                        </a:xfrm>
                        <a:prstGeom prst="rect">
                          <a:avLst/>
                        </a:prstGeom>
                        <a:solidFill>
                          <a:schemeClr val="lt1"/>
                        </a:solidFill>
                        <a:ln w="6350">
                          <a:noFill/>
                        </a:ln>
                      </wps:spPr>
                      <wps:txbx>
                        <w:txbxContent>
                          <w:p w14:paraId="4A112515" w14:textId="77777777" w:rsidR="00A52456" w:rsidRDefault="00BA51E3" w:rsidP="00BA51E3">
                            <w:pPr>
                              <w:jc w:val="center"/>
                              <w:rPr>
                                <w:rFonts w:cstheme="minorHAnsi"/>
                                <w:b/>
                                <w:bCs/>
                                <w:color w:val="28590F"/>
                                <w:sz w:val="56"/>
                                <w:szCs w:val="56"/>
                              </w:rPr>
                            </w:pPr>
                            <w:r>
                              <w:rPr>
                                <w:rFonts w:cstheme="minorHAnsi"/>
                                <w:b/>
                                <w:bCs/>
                                <w:color w:val="28590F"/>
                                <w:sz w:val="56"/>
                                <w:szCs w:val="56"/>
                              </w:rPr>
                              <w:t xml:space="preserve">NACEL 2027 </w:t>
                            </w:r>
                          </w:p>
                          <w:p w14:paraId="31206CC9" w14:textId="290F15B6" w:rsidR="00BA51E3" w:rsidRPr="00AF2AFB" w:rsidRDefault="00A52456" w:rsidP="00A52456">
                            <w:pPr>
                              <w:jc w:val="center"/>
                              <w:rPr>
                                <w:rFonts w:cstheme="minorHAnsi"/>
                                <w:b/>
                                <w:bCs/>
                                <w:color w:val="28590F"/>
                                <w:sz w:val="56"/>
                                <w:szCs w:val="56"/>
                              </w:rPr>
                            </w:pPr>
                            <w:r>
                              <w:rPr>
                                <w:rFonts w:cstheme="minorHAnsi"/>
                                <w:b/>
                                <w:bCs/>
                                <w:color w:val="28590F"/>
                                <w:sz w:val="56"/>
                                <w:szCs w:val="56"/>
                              </w:rPr>
                              <w:t>Guidance Notes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B7C825" id="_x0000_t202" coordsize="21600,21600" o:spt="202" path="m,l,21600r21600,l21600,xe">
                <v:stroke joinstyle="miter"/>
                <v:path gradientshapeok="t" o:connecttype="rect"/>
              </v:shapetype>
              <v:shape id="Text Box 2" o:spid="_x0000_s1026" type="#_x0000_t202" style="position:absolute;margin-left:0;margin-top:155.1pt;width:368.05pt;height:92.55pt;z-index:25165824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" fillcolor="white [3201]" stroked="f" strokeweight=".5pt">
                <v:textbox>
                  <w:txbxContent>
                    <w:p w14:paraId="4A112515" w14:textId="77777777" w:rsidR="00A52456" w:rsidRDefault="00BA51E3" w:rsidP="00BA51E3">
                      <w:pPr>
                        <w:jc w:val="center"/>
                        <w:rPr>
                          <w:rFonts w:cstheme="minorHAnsi"/>
                          <w:b/>
                          <w:bCs/>
                          <w:color w:val="28590F"/>
                          <w:sz w:val="56"/>
                          <w:szCs w:val="56"/>
                        </w:rPr>
                      </w:pPr>
                      <w:r>
                        <w:rPr>
                          <w:rFonts w:cstheme="minorHAnsi"/>
                          <w:b/>
                          <w:bCs/>
                          <w:color w:val="28590F"/>
                          <w:sz w:val="56"/>
                          <w:szCs w:val="56"/>
                        </w:rPr>
                        <w:t xml:space="preserve">NACEL 2027 </w:t>
                      </w:r>
                    </w:p>
                    <w:p w14:paraId="31206CC9" w14:textId="290F15B6" w:rsidR="00BA51E3" w:rsidRPr="00AF2AFB" w:rsidRDefault="00A52456" w:rsidP="00A52456">
                      <w:pPr>
                        <w:jc w:val="center"/>
                        <w:rPr>
                          <w:rFonts w:cstheme="minorHAnsi"/>
                          <w:b/>
                          <w:bCs/>
                          <w:color w:val="28590F"/>
                          <w:sz w:val="56"/>
                          <w:szCs w:val="56"/>
                        </w:rPr>
                      </w:pPr>
                      <w:r>
                        <w:rPr>
                          <w:rFonts w:cstheme="minorHAnsi"/>
                          <w:b/>
                          <w:bCs/>
                          <w:color w:val="28590F"/>
                          <w:sz w:val="56"/>
                          <w:szCs w:val="56"/>
                        </w:rPr>
                        <w:t>Guidance Notes</w:t>
                      </w:r>
                    </w:p>
                  </w:txbxContent>
                </v:textbox>
                <w10:wrap anchorx="margin"/>
              </v:shape>
            </w:pict>
          </mc:Fallback>
        </mc:AlternateContent>
      </w:r>
      <w:r>
        <w:rPr>
          <w:rFonts w:cstheme="minorHAnsi"/>
          <w:b/>
          <w:noProof/>
        </w:rPr>
        <mc:AlternateContent>
          <mc:Choice Requires="wps">
            <w:drawing>
              <wp:anchor distT="0" distB="0" distL="114300" distR="114300" simplePos="0" relativeHeight="251658241" behindDoc="0" locked="0" layoutInCell="1" allowOverlap="1" wp14:anchorId="64102BC0" wp14:editId="2F8BF2A4">
                <wp:simplePos x="0" y="0"/>
                <wp:positionH relativeFrom="margin">
                  <wp:align>center</wp:align>
                </wp:positionH>
                <wp:positionV relativeFrom="paragraph">
                  <wp:posOffset>3086100</wp:posOffset>
                </wp:positionV>
                <wp:extent cx="4276725" cy="2038350"/>
                <wp:effectExtent l="0" t="0" r="9525" b="0"/>
                <wp:wrapNone/>
                <wp:docPr id="14" name="Text Box 14"/>
                <wp:cNvGraphicFramePr/>
                <a:graphic xmlns:a="http://schemas.openxmlformats.org/drawingml/2006/main">
                  <a:graphicData uri="http://schemas.microsoft.com/office/word/2010/wordprocessingShape">
                    <wps:wsp>
                      <wps:cNvSpPr txBox="1"/>
                      <wps:spPr>
                        <a:xfrm>
                          <a:off x="0" y="0"/>
                          <a:ext cx="4276725" cy="2038350"/>
                        </a:xfrm>
                        <a:prstGeom prst="rect">
                          <a:avLst/>
                        </a:prstGeom>
                        <a:solidFill>
                          <a:schemeClr val="lt1"/>
                        </a:solidFill>
                        <a:ln w="6350">
                          <a:noFill/>
                        </a:ln>
                      </wps:spPr>
                      <wps:txbx>
                        <w:txbxContent>
                          <w:p w14:paraId="624A2644" w14:textId="7351CF24" w:rsidR="00BA51E3" w:rsidRPr="00AF2AFB" w:rsidRDefault="00A52456" w:rsidP="00BA51E3">
                            <w:pPr>
                              <w:spacing w:line="240" w:lineRule="auto"/>
                              <w:jc w:val="center"/>
                              <w:rPr>
                                <w:rFonts w:cstheme="minorHAnsi"/>
                                <w:sz w:val="44"/>
                                <w:szCs w:val="44"/>
                              </w:rPr>
                            </w:pPr>
                            <w:r>
                              <w:rPr>
                                <w:rFonts w:cstheme="minorHAnsi"/>
                                <w:sz w:val="44"/>
                                <w:szCs w:val="44"/>
                              </w:rPr>
                              <w:t>For all acute and community hospitals in England, Wales and Jersey</w:t>
                            </w:r>
                          </w:p>
                          <w:p w14:paraId="2375B055" w14:textId="5AB916AA" w:rsidR="00BA51E3" w:rsidRPr="00AF2AFB" w:rsidRDefault="00BA51E3" w:rsidP="00F77BFA">
                            <w:pPr>
                              <w:spacing w:line="240" w:lineRule="auto"/>
                              <w:jc w:val="center"/>
                              <w:rPr>
                                <w:rFonts w:cstheme="minorHAnsi"/>
                                <w:sz w:val="14"/>
                                <w:szCs w:val="14"/>
                              </w:rPr>
                            </w:pPr>
                            <w:r>
                              <w:rPr>
                                <w:rFonts w:cstheme="minorHAnsi"/>
                                <w:sz w:val="14"/>
                                <w:szCs w:val="14"/>
                              </w:rPr>
                              <w:t>Last updated on 28.10.2026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102BC0" id="Text Box 14" o:spid="_x0000_s1027" type="#_x0000_t202" style="position:absolute;margin-left:0;margin-top:243pt;width:336.75pt;height:160.5pt;z-index:251658241;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" fillcolor="white [3201]" stroked="f" strokeweight=".5pt">
                <v:textbox>
                  <w:txbxContent>
                    <w:p w14:paraId="624A2644" w14:textId="7351CF24" w:rsidR="00BA51E3" w:rsidRPr="00AF2AFB" w:rsidRDefault="00A52456" w:rsidP="00BA51E3">
                      <w:pPr>
                        <w:spacing w:line="240" w:lineRule="auto"/>
                        <w:jc w:val="center"/>
                        <w:rPr>
                          <w:rFonts w:cstheme="minorHAnsi"/>
                          <w:sz w:val="44"/>
                          <w:szCs w:val="44"/>
                        </w:rPr>
                      </w:pPr>
                      <w:r>
                        <w:rPr>
                          <w:rFonts w:cstheme="minorHAnsi"/>
                          <w:sz w:val="44"/>
                          <w:szCs w:val="44"/>
                        </w:rPr>
                        <w:t>For all acute and community hospitals in England, Wales and Jersey</w:t>
                      </w:r>
                    </w:p>
                    <w:p w14:paraId="2375B055" w14:textId="5AB916AA" w:rsidR="00BA51E3" w:rsidRPr="00AF2AFB" w:rsidRDefault="00BA51E3" w:rsidP="00F77BFA">
                      <w:pPr>
                        <w:spacing w:line="240" w:lineRule="auto"/>
                        <w:jc w:val="center"/>
                        <w:rPr>
                          <w:rFonts w:cstheme="minorHAnsi"/>
                          <w:sz w:val="14"/>
                          <w:szCs w:val="14"/>
                        </w:rPr>
                      </w:pPr>
                      <w:r>
                        <w:rPr>
                          <w:rFonts w:cstheme="minorHAnsi"/>
                          <w:sz w:val="14"/>
                          <w:szCs w:val="14"/>
                        </w:rPr>
                        <w:t xml:space="preserve">Last updated on 28.10.2026</w:t>
                      </w:r>
                    </w:p>
                  </w:txbxContent>
                </v:textbox>
                <w10:wrap anchorx="margin"/>
              </v:shape>
            </w:pict>
          </mc:Fallback>
        </mc:AlternateContent>
      </w:r>
      <w:r>
        <w:rPr>
          <w:rFonts w:cstheme="minorHAnsi"/>
          <w:b/>
        </w:rPr>
        <w:br w:type="page"/>
      </w:r>
    </w:p>
    <w:sdt>
      <w:sdtPr>
        <w:rPr>
          <w:rFonts w:asciiTheme="minorHAnsi" w:eastAsiaTheme="minorEastAsia" w:hAnsiTheme="minorHAnsi" w:cstheme="minorBidi"/>
          <w:color w:val="auto"/>
          <w:sz w:val="22"/>
          <w:szCs w:val="22"/>
          <w:lang w:val="en-GB"/>
        </w:rPr>
        <w:id w:val="-875774505"/>
        <w:docPartObj>
          <w:docPartGallery w:val="Table of Contents"/>
          <w:docPartUnique/>
        </w:docPartObj>
      </w:sdtPr>
      <w:sdtEndPr>
        <w:rPr>
          <w:b/>
          <w:bCs/>
        </w:rPr>
      </w:sdtEndPr>
      <w:sdtContent>
        <w:p w14:paraId="1DF274CF" w14:textId="1D29C13B" w:rsidR="008B3996" w:rsidRPr="00AF2AFB" w:rsidRDefault="008B3996">
          <w:pPr>
            <w:pStyle w:val="TOCHeading"/>
            <w:rPr>
              <w:rFonts w:asciiTheme="minorHAnsi" w:hAnsiTheme="minorHAnsi" w:cstheme="minorHAnsi"/>
              <w:b/>
              <w:bCs/>
              <w:color w:val="28590F"/>
              <w:lang w:val="en-GB"/>
            </w:rPr>
          </w:pPr>
          <w:r>
            <w:rPr>
              <w:rFonts w:asciiTheme="minorHAnsi" w:hAnsiTheme="minorHAnsi" w:cstheme="minorHAnsi"/>
              <w:b/>
              <w:bCs/>
              <w:color w:val="28590F"/>
              <w:lang w:val="en-GB"/>
            </w:rPr>
            <w:t>Contents</w:t>
          </w:r>
        </w:p>
        <w:p w14:paraId="195E827E" w14:textId="3A203B3D" w:rsidR="003F49DC" w:rsidRDefault="008B3996">
          <w:pPr>
            <w:pStyle w:val="TOC1"/>
            <w:rPr>
              <w:rFonts w:eastAsiaTheme="minorEastAsia"/>
              <w:noProof/>
              <w:kern w:val="2"/>
              <w:sz w:val="24"/>
              <w:szCs w:val="24"/>
              <w:lang w:eastAsia="en-GB"/>
              <w14:ligatures w14:val="standardContextual"/>
            </w:rPr>
          </w:pPr>
          <w:r>
            <w:fldChar w:fldCharType="begin"/>
          </w:r>
          <w:r>
            <w:instrText xml:space="preserve"> TOC \o "1-3" \h \z \u </w:instrText>
          </w:r>
          <w:r>
            <w:fldChar w:fldCharType="separate"/>
          </w:r>
          <w:hyperlink w:anchor="_Toc212207531" w:history="1">
            <w:r>
              <w:rPr>
                <w:rStyle w:val="Hyperlink"/>
                <w:rFonts w:cstheme="minorHAnsi"/>
                <w:b/>
                <w:bCs/>
                <w:noProof/>
              </w:rPr>
              <w:t>1. What’s New in 2027</w:t>
            </w:r>
            <w:r>
              <w:rPr>
                <w:noProof/>
                <w:webHidden/>
              </w:rPr>
              <w:tab/>
            </w:r>
            <w:r>
              <w:rPr>
                <w:noProof/>
                <w:webHidden/>
              </w:rPr>
              <w:fldChar w:fldCharType="begin"/>
            </w:r>
            <w:r>
              <w:rPr>
                <w:noProof/>
                <w:webHidden/>
              </w:rPr>
              <w:instrText xml:space="preserve"> PAGEREF _Toc212207531 \h </w:instrText>
            </w:r>
            <w:r>
              <w:rPr>
                <w:noProof/>
                <w:webHidden/>
              </w:rPr>
            </w:r>
            <w:r>
              <w:rPr>
                <w:noProof/>
                <w:webHidden/>
              </w:rPr>
              <w:fldChar w:fldCharType="separate"/>
            </w:r>
            <w:r>
              <w:rPr>
                <w:noProof/>
                <w:webHidden/>
              </w:rPr>
              <w:t>3</w:t>
            </w:r>
            <w:r>
              <w:rPr>
                <w:noProof/>
                <w:webHidden/>
              </w:rPr>
              <w:fldChar w:fldCharType="end"/>
            </w:r>
          </w:hyperlink>
        </w:p>
        <w:p w14:paraId="59C0C8CE" w14:textId="63CB41EC" w:rsidR="003F49DC" w:rsidRDefault="003F49DC">
          <w:pPr>
            <w:pStyle w:val="TOC1"/>
            <w:rPr>
              <w:rFonts w:eastAsiaTheme="minorEastAsia"/>
              <w:noProof/>
              <w:kern w:val="2"/>
              <w:sz w:val="24"/>
              <w:szCs w:val="24"/>
              <w:lang w:eastAsia="en-GB"/>
              <w14:ligatures w14:val="standardContextual"/>
            </w:rPr>
          </w:pPr>
          <w:hyperlink w:anchor="_Toc212207532" w:history="1">
            <w:r>
              <w:rPr>
                <w:rStyle w:val="Hyperlink"/>
                <w:rFonts w:cstheme="minorHAnsi"/>
                <w:b/>
                <w:bCs/>
                <w:noProof/>
              </w:rPr>
              <w:t>2. About NACEL</w:t>
            </w:r>
            <w:r>
              <w:rPr>
                <w:noProof/>
                <w:webHidden/>
              </w:rPr>
              <w:tab/>
            </w:r>
            <w:r>
              <w:rPr>
                <w:noProof/>
                <w:webHidden/>
              </w:rPr>
              <w:fldChar w:fldCharType="begin"/>
            </w:r>
            <w:r>
              <w:rPr>
                <w:noProof/>
                <w:webHidden/>
              </w:rPr>
              <w:instrText xml:space="preserve"> PAGEREF _Toc212207532 \h </w:instrText>
            </w:r>
            <w:r>
              <w:rPr>
                <w:noProof/>
                <w:webHidden/>
              </w:rPr>
            </w:r>
            <w:r>
              <w:rPr>
                <w:noProof/>
                <w:webHidden/>
              </w:rPr>
              <w:fldChar w:fldCharType="separate"/>
            </w:r>
            <w:r>
              <w:rPr>
                <w:noProof/>
                <w:webHidden/>
              </w:rPr>
              <w:t>3</w:t>
            </w:r>
            <w:r>
              <w:rPr>
                <w:noProof/>
                <w:webHidden/>
              </w:rPr>
              <w:fldChar w:fldCharType="end"/>
            </w:r>
          </w:hyperlink>
        </w:p>
        <w:p w14:paraId="53E4670B" w14:textId="0CDC97A5" w:rsidR="003F49DC" w:rsidRDefault="003F49DC">
          <w:pPr>
            <w:pStyle w:val="TOC1"/>
            <w:rPr>
              <w:rFonts w:eastAsiaTheme="minorEastAsia"/>
              <w:noProof/>
              <w:kern w:val="2"/>
              <w:sz w:val="24"/>
              <w:szCs w:val="24"/>
              <w:lang w:eastAsia="en-GB"/>
              <w14:ligatures w14:val="standardContextual"/>
            </w:rPr>
          </w:pPr>
          <w:hyperlink w:anchor="_Toc212207533" w:history="1">
            <w:r>
              <w:rPr>
                <w:rStyle w:val="Hyperlink"/>
                <w:rFonts w:cstheme="minorHAnsi"/>
                <w:b/>
                <w:bCs/>
                <w:noProof/>
              </w:rPr>
              <w:t>3. Key dates</w:t>
            </w:r>
            <w:r>
              <w:rPr>
                <w:noProof/>
                <w:webHidden/>
              </w:rPr>
              <w:tab/>
            </w:r>
            <w:r>
              <w:rPr>
                <w:noProof/>
                <w:webHidden/>
              </w:rPr>
              <w:fldChar w:fldCharType="begin"/>
            </w:r>
            <w:r>
              <w:rPr>
                <w:noProof/>
                <w:webHidden/>
              </w:rPr>
              <w:instrText xml:space="preserve"> PAGEREF _Toc212207533 \h </w:instrText>
            </w:r>
            <w:r>
              <w:rPr>
                <w:noProof/>
                <w:webHidden/>
              </w:rPr>
            </w:r>
            <w:r>
              <w:rPr>
                <w:noProof/>
                <w:webHidden/>
              </w:rPr>
              <w:fldChar w:fldCharType="separate"/>
            </w:r>
            <w:r>
              <w:rPr>
                <w:noProof/>
                <w:webHidden/>
              </w:rPr>
              <w:t>4</w:t>
            </w:r>
            <w:r>
              <w:rPr>
                <w:noProof/>
                <w:webHidden/>
              </w:rPr>
              <w:fldChar w:fldCharType="end"/>
            </w:r>
          </w:hyperlink>
        </w:p>
        <w:p w14:paraId="7C51F386" w14:textId="264E62FD" w:rsidR="003F49DC" w:rsidRDefault="003F49DC">
          <w:pPr>
            <w:pStyle w:val="TOC1"/>
            <w:rPr>
              <w:rFonts w:eastAsiaTheme="minorEastAsia"/>
              <w:noProof/>
              <w:kern w:val="2"/>
              <w:sz w:val="24"/>
              <w:szCs w:val="24"/>
              <w:lang w:eastAsia="en-GB"/>
              <w14:ligatures w14:val="standardContextual"/>
            </w:rPr>
          </w:pPr>
          <w:hyperlink w:anchor="_Toc212207534" w:history="1">
            <w:r>
              <w:rPr>
                <w:rStyle w:val="Hyperlink"/>
                <w:rFonts w:cstheme="minorHAnsi"/>
                <w:b/>
                <w:bCs/>
                <w:noProof/>
              </w:rPr>
              <w:t>4. Registration</w:t>
            </w:r>
            <w:r>
              <w:rPr>
                <w:noProof/>
                <w:webHidden/>
              </w:rPr>
              <w:tab/>
            </w:r>
            <w:r>
              <w:rPr>
                <w:noProof/>
                <w:webHidden/>
              </w:rPr>
              <w:fldChar w:fldCharType="begin"/>
            </w:r>
            <w:r>
              <w:rPr>
                <w:noProof/>
                <w:webHidden/>
              </w:rPr>
              <w:instrText xml:space="preserve"> PAGEREF _Toc212207534 \h </w:instrText>
            </w:r>
            <w:r>
              <w:rPr>
                <w:noProof/>
                <w:webHidden/>
              </w:rPr>
            </w:r>
            <w:r>
              <w:rPr>
                <w:noProof/>
                <w:webHidden/>
              </w:rPr>
              <w:fldChar w:fldCharType="separate"/>
            </w:r>
            <w:r>
              <w:rPr>
                <w:noProof/>
                <w:webHidden/>
              </w:rPr>
              <w:t>4</w:t>
            </w:r>
            <w:r>
              <w:rPr>
                <w:noProof/>
                <w:webHidden/>
              </w:rPr>
              <w:fldChar w:fldCharType="end"/>
            </w:r>
          </w:hyperlink>
        </w:p>
        <w:p w14:paraId="6EF85669" w14:textId="1429AF2B" w:rsidR="003F49DC" w:rsidRDefault="003F49DC">
          <w:pPr>
            <w:pStyle w:val="TOC1"/>
            <w:rPr>
              <w:rFonts w:eastAsiaTheme="minorEastAsia"/>
              <w:noProof/>
              <w:kern w:val="2"/>
              <w:sz w:val="24"/>
              <w:szCs w:val="24"/>
              <w:lang w:eastAsia="en-GB"/>
              <w14:ligatures w14:val="standardContextual"/>
            </w:rPr>
          </w:pPr>
          <w:hyperlink w:anchor="_Toc212207535" w:history="1">
            <w:r>
              <w:rPr>
                <w:rStyle w:val="Hyperlink"/>
                <w:rFonts w:cstheme="minorHAnsi"/>
                <w:b/>
                <w:bCs/>
                <w:noProof/>
              </w:rPr>
              <w:t>5. Data collection</w:t>
            </w:r>
            <w:r>
              <w:rPr>
                <w:noProof/>
                <w:webHidden/>
              </w:rPr>
              <w:tab/>
            </w:r>
            <w:r>
              <w:rPr>
                <w:noProof/>
                <w:webHidden/>
              </w:rPr>
              <w:fldChar w:fldCharType="begin"/>
            </w:r>
            <w:r>
              <w:rPr>
                <w:noProof/>
                <w:webHidden/>
              </w:rPr>
              <w:instrText xml:space="preserve"> PAGEREF _Toc212207535 \h </w:instrText>
            </w:r>
            <w:r>
              <w:rPr>
                <w:noProof/>
                <w:webHidden/>
              </w:rPr>
            </w:r>
            <w:r>
              <w:rPr>
                <w:noProof/>
                <w:webHidden/>
              </w:rPr>
              <w:fldChar w:fldCharType="separate"/>
            </w:r>
            <w:r>
              <w:rPr>
                <w:noProof/>
                <w:webHidden/>
              </w:rPr>
              <w:t>6</w:t>
            </w:r>
            <w:r>
              <w:rPr>
                <w:noProof/>
                <w:webHidden/>
              </w:rPr>
              <w:fldChar w:fldCharType="end"/>
            </w:r>
          </w:hyperlink>
        </w:p>
        <w:p w14:paraId="4817E85D" w14:textId="75C9593B" w:rsidR="003F49DC" w:rsidRDefault="003F49DC">
          <w:pPr>
            <w:pStyle w:val="TOC2"/>
            <w:tabs>
              <w:tab w:val="right" w:leader="dot" w:pos="9016"/>
            </w:tabs>
            <w:rPr>
              <w:rFonts w:eastAsiaTheme="minorEastAsia"/>
              <w:noProof/>
              <w:kern w:val="2"/>
              <w:sz w:val="24"/>
              <w:szCs w:val="24"/>
              <w:lang w:eastAsia="en-GB"/>
              <w14:ligatures w14:val="standardContextual"/>
            </w:rPr>
          </w:pPr>
          <w:hyperlink w:anchor="_Toc212207536" w:history="1">
            <w:r>
              <w:rPr>
                <w:rStyle w:val="Hyperlink"/>
                <w:rFonts w:cstheme="minorHAnsi"/>
                <w:b/>
                <w:bCs/>
                <w:noProof/>
              </w:rPr>
              <w:t>Case Note Review</w:t>
            </w:r>
            <w:r>
              <w:rPr>
                <w:noProof/>
                <w:webHidden/>
              </w:rPr>
              <w:tab/>
            </w:r>
            <w:r>
              <w:rPr>
                <w:noProof/>
                <w:webHidden/>
              </w:rPr>
              <w:fldChar w:fldCharType="begin"/>
            </w:r>
            <w:r>
              <w:rPr>
                <w:noProof/>
                <w:webHidden/>
              </w:rPr>
              <w:instrText xml:space="preserve"> PAGEREF _Toc212207536 \h </w:instrText>
            </w:r>
            <w:r>
              <w:rPr>
                <w:noProof/>
                <w:webHidden/>
              </w:rPr>
            </w:r>
            <w:r>
              <w:rPr>
                <w:noProof/>
                <w:webHidden/>
              </w:rPr>
              <w:fldChar w:fldCharType="separate"/>
            </w:r>
            <w:r>
              <w:rPr>
                <w:noProof/>
                <w:webHidden/>
              </w:rPr>
              <w:t>6</w:t>
            </w:r>
            <w:r>
              <w:rPr>
                <w:noProof/>
                <w:webHidden/>
              </w:rPr>
              <w:fldChar w:fldCharType="end"/>
            </w:r>
          </w:hyperlink>
        </w:p>
        <w:p w14:paraId="583A191E" w14:textId="3959F47F" w:rsidR="003F49DC" w:rsidRDefault="003F49DC">
          <w:pPr>
            <w:pStyle w:val="TOC2"/>
            <w:tabs>
              <w:tab w:val="right" w:leader="dot" w:pos="9016"/>
            </w:tabs>
            <w:rPr>
              <w:rFonts w:eastAsiaTheme="minorEastAsia"/>
              <w:noProof/>
              <w:kern w:val="2"/>
              <w:sz w:val="24"/>
              <w:szCs w:val="24"/>
              <w:lang w:eastAsia="en-GB"/>
              <w14:ligatures w14:val="standardContextual"/>
            </w:rPr>
          </w:pPr>
          <w:hyperlink w:anchor="_Toc212207537" w:history="1">
            <w:r>
              <w:rPr>
                <w:rStyle w:val="Hyperlink"/>
                <w:rFonts w:cstheme="minorHAnsi"/>
                <w:b/>
                <w:bCs/>
                <w:noProof/>
              </w:rPr>
              <w:t>Bereavement Survey</w:t>
            </w:r>
            <w:r>
              <w:rPr>
                <w:noProof/>
                <w:webHidden/>
              </w:rPr>
              <w:tab/>
            </w:r>
            <w:r>
              <w:rPr>
                <w:noProof/>
                <w:webHidden/>
              </w:rPr>
              <w:fldChar w:fldCharType="begin"/>
            </w:r>
            <w:r>
              <w:rPr>
                <w:noProof/>
                <w:webHidden/>
              </w:rPr>
              <w:instrText xml:space="preserve"> PAGEREF _Toc212207537 \h </w:instrText>
            </w:r>
            <w:r>
              <w:rPr>
                <w:noProof/>
                <w:webHidden/>
              </w:rPr>
            </w:r>
            <w:r>
              <w:rPr>
                <w:noProof/>
                <w:webHidden/>
              </w:rPr>
              <w:fldChar w:fldCharType="separate"/>
            </w:r>
            <w:r>
              <w:rPr>
                <w:noProof/>
                <w:webHidden/>
              </w:rPr>
              <w:t>11</w:t>
            </w:r>
            <w:r>
              <w:rPr>
                <w:noProof/>
                <w:webHidden/>
              </w:rPr>
              <w:fldChar w:fldCharType="end"/>
            </w:r>
          </w:hyperlink>
        </w:p>
        <w:p w14:paraId="47E26BDD" w14:textId="2CC986D0" w:rsidR="003F49DC" w:rsidRDefault="003F49DC">
          <w:pPr>
            <w:pStyle w:val="TOC2"/>
            <w:tabs>
              <w:tab w:val="right" w:leader="dot" w:pos="9016"/>
            </w:tabs>
            <w:rPr>
              <w:rFonts w:eastAsiaTheme="minorEastAsia"/>
              <w:noProof/>
              <w:kern w:val="2"/>
              <w:sz w:val="24"/>
              <w:szCs w:val="24"/>
              <w:lang w:eastAsia="en-GB"/>
              <w14:ligatures w14:val="standardContextual"/>
            </w:rPr>
          </w:pPr>
          <w:hyperlink w:anchor="_Toc212207538" w:history="1">
            <w:r>
              <w:rPr>
                <w:rStyle w:val="Hyperlink"/>
                <w:rFonts w:cstheme="minorHAnsi"/>
                <w:b/>
                <w:bCs/>
                <w:noProof/>
              </w:rPr>
              <w:t>Staff Reported Measure</w:t>
            </w:r>
            <w:r>
              <w:rPr>
                <w:noProof/>
                <w:webHidden/>
              </w:rPr>
              <w:tab/>
            </w:r>
            <w:r>
              <w:rPr>
                <w:noProof/>
                <w:webHidden/>
              </w:rPr>
              <w:fldChar w:fldCharType="begin"/>
            </w:r>
            <w:r>
              <w:rPr>
                <w:noProof/>
                <w:webHidden/>
              </w:rPr>
              <w:instrText xml:space="preserve"> PAGEREF _Toc212207538 \h </w:instrText>
            </w:r>
            <w:r>
              <w:rPr>
                <w:noProof/>
                <w:webHidden/>
              </w:rPr>
            </w:r>
            <w:r>
              <w:rPr>
                <w:noProof/>
                <w:webHidden/>
              </w:rPr>
              <w:fldChar w:fldCharType="separate"/>
            </w:r>
            <w:r>
              <w:rPr>
                <w:noProof/>
                <w:webHidden/>
              </w:rPr>
              <w:t>13</w:t>
            </w:r>
            <w:r>
              <w:rPr>
                <w:noProof/>
                <w:webHidden/>
              </w:rPr>
              <w:fldChar w:fldCharType="end"/>
            </w:r>
          </w:hyperlink>
        </w:p>
        <w:p w14:paraId="5450E090" w14:textId="6F4DE498" w:rsidR="003F49DC" w:rsidRDefault="003F49DC">
          <w:pPr>
            <w:pStyle w:val="TOC2"/>
            <w:tabs>
              <w:tab w:val="right" w:leader="dot" w:pos="9016"/>
            </w:tabs>
            <w:rPr>
              <w:rFonts w:eastAsiaTheme="minorEastAsia"/>
              <w:noProof/>
              <w:kern w:val="2"/>
              <w:sz w:val="24"/>
              <w:szCs w:val="24"/>
              <w:lang w:eastAsia="en-GB"/>
              <w14:ligatures w14:val="standardContextual"/>
            </w:rPr>
          </w:pPr>
          <w:hyperlink w:anchor="_Toc212207539" w:history="1">
            <w:r>
              <w:rPr>
                <w:rStyle w:val="Hyperlink"/>
                <w:rFonts w:cstheme="minorHAnsi"/>
                <w:b/>
                <w:bCs/>
                <w:noProof/>
              </w:rPr>
              <w:t>Hospital/Site Overview</w:t>
            </w:r>
            <w:r>
              <w:rPr>
                <w:noProof/>
                <w:webHidden/>
              </w:rPr>
              <w:tab/>
            </w:r>
            <w:r>
              <w:rPr>
                <w:noProof/>
                <w:webHidden/>
              </w:rPr>
              <w:fldChar w:fldCharType="begin"/>
            </w:r>
            <w:r>
              <w:rPr>
                <w:noProof/>
                <w:webHidden/>
              </w:rPr>
              <w:instrText xml:space="preserve"> PAGEREF _Toc212207539 \h </w:instrText>
            </w:r>
            <w:r>
              <w:rPr>
                <w:noProof/>
                <w:webHidden/>
              </w:rPr>
            </w:r>
            <w:r>
              <w:rPr>
                <w:noProof/>
                <w:webHidden/>
              </w:rPr>
              <w:fldChar w:fldCharType="separate"/>
            </w:r>
            <w:r>
              <w:rPr>
                <w:noProof/>
                <w:webHidden/>
              </w:rPr>
              <w:t>15</w:t>
            </w:r>
            <w:r>
              <w:rPr>
                <w:noProof/>
                <w:webHidden/>
              </w:rPr>
              <w:fldChar w:fldCharType="end"/>
            </w:r>
          </w:hyperlink>
        </w:p>
        <w:p w14:paraId="3DC3E801" w14:textId="48A3AA16" w:rsidR="003F49DC" w:rsidRDefault="003F49DC">
          <w:pPr>
            <w:pStyle w:val="TOC2"/>
            <w:tabs>
              <w:tab w:val="right" w:leader="dot" w:pos="9016"/>
            </w:tabs>
            <w:rPr>
              <w:rFonts w:eastAsiaTheme="minorEastAsia"/>
              <w:noProof/>
              <w:kern w:val="2"/>
              <w:sz w:val="24"/>
              <w:szCs w:val="24"/>
              <w:lang w:eastAsia="en-GB"/>
              <w14:ligatures w14:val="standardContextual"/>
            </w:rPr>
          </w:pPr>
          <w:hyperlink w:anchor="_Toc212207540" w:history="1">
            <w:r>
              <w:rPr>
                <w:rStyle w:val="Hyperlink"/>
                <w:rFonts w:cstheme="minorHAnsi"/>
                <w:b/>
                <w:bCs/>
                <w:noProof/>
              </w:rPr>
              <w:t>Annual Death Data Collection</w:t>
            </w:r>
            <w:r>
              <w:rPr>
                <w:noProof/>
                <w:webHidden/>
              </w:rPr>
              <w:tab/>
            </w:r>
            <w:r>
              <w:rPr>
                <w:noProof/>
                <w:webHidden/>
              </w:rPr>
              <w:fldChar w:fldCharType="begin"/>
            </w:r>
            <w:r>
              <w:rPr>
                <w:noProof/>
                <w:webHidden/>
              </w:rPr>
              <w:instrText xml:space="preserve"> PAGEREF _Toc212207540 \h </w:instrText>
            </w:r>
            <w:r>
              <w:rPr>
                <w:noProof/>
                <w:webHidden/>
              </w:rPr>
            </w:r>
            <w:r>
              <w:rPr>
                <w:noProof/>
                <w:webHidden/>
              </w:rPr>
              <w:fldChar w:fldCharType="separate"/>
            </w:r>
            <w:r>
              <w:rPr>
                <w:noProof/>
                <w:webHidden/>
              </w:rPr>
              <w:t>15</w:t>
            </w:r>
            <w:r>
              <w:rPr>
                <w:noProof/>
                <w:webHidden/>
              </w:rPr>
              <w:fldChar w:fldCharType="end"/>
            </w:r>
          </w:hyperlink>
        </w:p>
        <w:p w14:paraId="1FA8333A" w14:textId="096DBDD6" w:rsidR="003F49DC" w:rsidRDefault="003F49DC">
          <w:pPr>
            <w:pStyle w:val="TOC1"/>
            <w:rPr>
              <w:rFonts w:eastAsiaTheme="minorEastAsia"/>
              <w:noProof/>
              <w:kern w:val="2"/>
              <w:sz w:val="24"/>
              <w:szCs w:val="24"/>
              <w:lang w:eastAsia="en-GB"/>
              <w14:ligatures w14:val="standardContextual"/>
            </w:rPr>
          </w:pPr>
          <w:hyperlink w:anchor="_Toc212207541" w:history="1">
            <w:r>
              <w:rPr>
                <w:rStyle w:val="Hyperlink"/>
                <w:rFonts w:cstheme="minorHAnsi"/>
                <w:b/>
                <w:bCs/>
                <w:noProof/>
              </w:rPr>
              <w:t>6.</w:t>
            </w:r>
            <w:r>
              <w:rPr>
                <w:rFonts w:eastAsiaTheme="minorEastAsia"/>
                <w:noProof/>
                <w:kern w:val="2"/>
                <w:sz w:val="24"/>
                <w:szCs w:val="24"/>
                <w:lang w:eastAsia="en-GB"/>
                <w14:ligatures w14:val="standardContextual"/>
              </w:rPr>
              <w:tab/>
            </w:r>
            <w:r>
              <w:rPr>
                <w:rStyle w:val="Hyperlink"/>
                <w:rFonts w:cstheme="minorHAnsi"/>
                <w:b/>
                <w:bCs/>
                <w:noProof/>
              </w:rPr>
              <w:t>Finalising data collection</w:t>
            </w:r>
            <w:r>
              <w:rPr>
                <w:noProof/>
                <w:webHidden/>
              </w:rPr>
              <w:tab/>
            </w:r>
            <w:r>
              <w:rPr>
                <w:noProof/>
                <w:webHidden/>
              </w:rPr>
              <w:fldChar w:fldCharType="begin"/>
            </w:r>
            <w:r>
              <w:rPr>
                <w:noProof/>
                <w:webHidden/>
              </w:rPr>
              <w:instrText xml:space="preserve"> PAGEREF _Toc212207541 \h </w:instrText>
            </w:r>
            <w:r>
              <w:rPr>
                <w:noProof/>
                <w:webHidden/>
              </w:rPr>
            </w:r>
            <w:r>
              <w:rPr>
                <w:noProof/>
                <w:webHidden/>
              </w:rPr>
              <w:fldChar w:fldCharType="separate"/>
            </w:r>
            <w:r>
              <w:rPr>
                <w:noProof/>
                <w:webHidden/>
              </w:rPr>
              <w:t>15</w:t>
            </w:r>
            <w:r>
              <w:rPr>
                <w:noProof/>
                <w:webHidden/>
              </w:rPr>
              <w:fldChar w:fldCharType="end"/>
            </w:r>
          </w:hyperlink>
        </w:p>
        <w:p w14:paraId="12C1E8C7" w14:textId="112BEAC8" w:rsidR="003F49DC" w:rsidRDefault="003F49DC">
          <w:pPr>
            <w:pStyle w:val="TOC1"/>
            <w:rPr>
              <w:rFonts w:eastAsiaTheme="minorEastAsia"/>
              <w:noProof/>
              <w:kern w:val="2"/>
              <w:sz w:val="24"/>
              <w:szCs w:val="24"/>
              <w:lang w:eastAsia="en-GB"/>
              <w14:ligatures w14:val="standardContextual"/>
            </w:rPr>
          </w:pPr>
          <w:hyperlink w:anchor="_Toc212207542" w:history="1">
            <w:r>
              <w:rPr>
                <w:rStyle w:val="Hyperlink"/>
                <w:rFonts w:cstheme="minorHAnsi"/>
                <w:b/>
                <w:bCs/>
                <w:noProof/>
              </w:rPr>
              <w:t>7.</w:t>
            </w:r>
            <w:r>
              <w:rPr>
                <w:rFonts w:eastAsiaTheme="minorEastAsia"/>
                <w:noProof/>
                <w:kern w:val="2"/>
                <w:sz w:val="24"/>
                <w:szCs w:val="24"/>
                <w:lang w:eastAsia="en-GB"/>
                <w14:ligatures w14:val="standardContextual"/>
              </w:rPr>
              <w:tab/>
            </w:r>
            <w:r>
              <w:rPr>
                <w:rStyle w:val="Hyperlink"/>
                <w:rFonts w:cstheme="minorHAnsi"/>
                <w:b/>
                <w:bCs/>
                <w:noProof/>
              </w:rPr>
              <w:t>Data and Improvement Tool</w:t>
            </w:r>
            <w:r>
              <w:rPr>
                <w:noProof/>
                <w:webHidden/>
              </w:rPr>
              <w:tab/>
            </w:r>
            <w:r>
              <w:rPr>
                <w:noProof/>
                <w:webHidden/>
              </w:rPr>
              <w:fldChar w:fldCharType="begin"/>
            </w:r>
            <w:r>
              <w:rPr>
                <w:noProof/>
                <w:webHidden/>
              </w:rPr>
              <w:instrText xml:space="preserve"> PAGEREF _Toc212207542 \h </w:instrText>
            </w:r>
            <w:r>
              <w:rPr>
                <w:noProof/>
                <w:webHidden/>
              </w:rPr>
            </w:r>
            <w:r>
              <w:rPr>
                <w:noProof/>
                <w:webHidden/>
              </w:rPr>
              <w:fldChar w:fldCharType="separate"/>
            </w:r>
            <w:r>
              <w:rPr>
                <w:noProof/>
                <w:webHidden/>
              </w:rPr>
              <w:t>16</w:t>
            </w:r>
            <w:r>
              <w:rPr>
                <w:noProof/>
                <w:webHidden/>
              </w:rPr>
              <w:fldChar w:fldCharType="end"/>
            </w:r>
          </w:hyperlink>
        </w:p>
        <w:p w14:paraId="340BD051" w14:textId="4E87A6CE" w:rsidR="003F49DC" w:rsidRDefault="003F49DC">
          <w:pPr>
            <w:pStyle w:val="TOC1"/>
            <w:rPr>
              <w:rFonts w:eastAsiaTheme="minorEastAsia"/>
              <w:noProof/>
              <w:kern w:val="2"/>
              <w:sz w:val="24"/>
              <w:szCs w:val="24"/>
              <w:lang w:eastAsia="en-GB"/>
              <w14:ligatures w14:val="standardContextual"/>
            </w:rPr>
          </w:pPr>
          <w:hyperlink w:anchor="_Toc212207543" w:history="1">
            <w:r>
              <w:rPr>
                <w:rStyle w:val="Hyperlink"/>
                <w:rFonts w:cstheme="minorHAnsi"/>
                <w:b/>
                <w:bCs/>
                <w:noProof/>
              </w:rPr>
              <w:t>8.</w:t>
            </w:r>
            <w:r>
              <w:rPr>
                <w:rFonts w:eastAsiaTheme="minorEastAsia"/>
                <w:noProof/>
                <w:kern w:val="2"/>
                <w:sz w:val="24"/>
                <w:szCs w:val="24"/>
                <w:lang w:eastAsia="en-GB"/>
                <w14:ligatures w14:val="standardContextual"/>
              </w:rPr>
              <w:tab/>
            </w:r>
            <w:r>
              <w:rPr>
                <w:rStyle w:val="Hyperlink"/>
                <w:rFonts w:cstheme="minorHAnsi"/>
                <w:b/>
                <w:bCs/>
                <w:noProof/>
              </w:rPr>
              <w:t>Engagement</w:t>
            </w:r>
            <w:r>
              <w:rPr>
                <w:noProof/>
                <w:webHidden/>
              </w:rPr>
              <w:tab/>
            </w:r>
            <w:r>
              <w:rPr>
                <w:noProof/>
                <w:webHidden/>
              </w:rPr>
              <w:fldChar w:fldCharType="begin"/>
            </w:r>
            <w:r>
              <w:rPr>
                <w:noProof/>
                <w:webHidden/>
              </w:rPr>
              <w:instrText xml:space="preserve"> PAGEREF _Toc212207543 \h </w:instrText>
            </w:r>
            <w:r>
              <w:rPr>
                <w:noProof/>
                <w:webHidden/>
              </w:rPr>
            </w:r>
            <w:r>
              <w:rPr>
                <w:noProof/>
                <w:webHidden/>
              </w:rPr>
              <w:fldChar w:fldCharType="separate"/>
            </w:r>
            <w:r>
              <w:rPr>
                <w:noProof/>
                <w:webHidden/>
              </w:rPr>
              <w:t>16</w:t>
            </w:r>
            <w:r>
              <w:rPr>
                <w:noProof/>
                <w:webHidden/>
              </w:rPr>
              <w:fldChar w:fldCharType="end"/>
            </w:r>
          </w:hyperlink>
        </w:p>
        <w:p w14:paraId="44438BD7" w14:textId="1FA449CE" w:rsidR="003F49DC" w:rsidRDefault="003F49DC">
          <w:pPr>
            <w:pStyle w:val="TOC1"/>
            <w:rPr>
              <w:rFonts w:eastAsiaTheme="minorEastAsia"/>
              <w:noProof/>
              <w:kern w:val="2"/>
              <w:sz w:val="24"/>
              <w:szCs w:val="24"/>
              <w:lang w:eastAsia="en-GB"/>
              <w14:ligatures w14:val="standardContextual"/>
            </w:rPr>
          </w:pPr>
          <w:hyperlink w:anchor="_Toc212207544" w:history="1">
            <w:r>
              <w:rPr>
                <w:rStyle w:val="Hyperlink"/>
                <w:rFonts w:cstheme="minorHAnsi"/>
                <w:b/>
                <w:bCs/>
                <w:noProof/>
              </w:rPr>
              <w:t>9.</w:t>
            </w:r>
            <w:r>
              <w:rPr>
                <w:rFonts w:eastAsiaTheme="minorEastAsia"/>
                <w:noProof/>
                <w:kern w:val="2"/>
                <w:sz w:val="24"/>
                <w:szCs w:val="24"/>
                <w:lang w:eastAsia="en-GB"/>
                <w14:ligatures w14:val="standardContextual"/>
              </w:rPr>
              <w:tab/>
            </w:r>
            <w:r>
              <w:rPr>
                <w:rStyle w:val="Hyperlink"/>
                <w:rFonts w:cstheme="minorHAnsi"/>
                <w:b/>
                <w:bCs/>
                <w:noProof/>
              </w:rPr>
              <w:t>Quality Improvement support</w:t>
            </w:r>
            <w:r>
              <w:rPr>
                <w:noProof/>
                <w:webHidden/>
              </w:rPr>
              <w:tab/>
            </w:r>
            <w:r>
              <w:rPr>
                <w:noProof/>
                <w:webHidden/>
              </w:rPr>
              <w:fldChar w:fldCharType="begin"/>
            </w:r>
            <w:r>
              <w:rPr>
                <w:noProof/>
                <w:webHidden/>
              </w:rPr>
              <w:instrText xml:space="preserve"> PAGEREF _Toc212207544 \h </w:instrText>
            </w:r>
            <w:r>
              <w:rPr>
                <w:noProof/>
                <w:webHidden/>
              </w:rPr>
            </w:r>
            <w:r>
              <w:rPr>
                <w:noProof/>
                <w:webHidden/>
              </w:rPr>
              <w:fldChar w:fldCharType="separate"/>
            </w:r>
            <w:r>
              <w:rPr>
                <w:noProof/>
                <w:webHidden/>
              </w:rPr>
              <w:t>17</w:t>
            </w:r>
            <w:r>
              <w:rPr>
                <w:noProof/>
                <w:webHidden/>
              </w:rPr>
              <w:fldChar w:fldCharType="end"/>
            </w:r>
          </w:hyperlink>
        </w:p>
        <w:p w14:paraId="6E589DD4" w14:textId="0EB1193E" w:rsidR="003F49DC" w:rsidRDefault="003F49DC">
          <w:pPr>
            <w:pStyle w:val="TOC1"/>
            <w:rPr>
              <w:rFonts w:eastAsiaTheme="minorEastAsia"/>
              <w:noProof/>
              <w:kern w:val="2"/>
              <w:sz w:val="24"/>
              <w:szCs w:val="24"/>
              <w:lang w:eastAsia="en-GB"/>
              <w14:ligatures w14:val="standardContextual"/>
            </w:rPr>
          </w:pPr>
          <w:hyperlink w:anchor="_Toc212207545" w:history="1">
            <w:r>
              <w:rPr>
                <w:rStyle w:val="Hyperlink"/>
                <w:rFonts w:cstheme="minorHAnsi"/>
                <w:b/>
                <w:bCs/>
                <w:noProof/>
              </w:rPr>
              <w:t>10.</w:t>
            </w:r>
            <w:r>
              <w:rPr>
                <w:rFonts w:eastAsiaTheme="minorEastAsia"/>
                <w:noProof/>
                <w:kern w:val="2"/>
                <w:sz w:val="24"/>
                <w:szCs w:val="24"/>
                <w:lang w:eastAsia="en-GB"/>
                <w14:ligatures w14:val="standardContextual"/>
              </w:rPr>
              <w:tab/>
            </w:r>
            <w:r>
              <w:rPr>
                <w:rStyle w:val="Hyperlink"/>
                <w:rFonts w:cstheme="minorHAnsi"/>
                <w:b/>
                <w:bCs/>
                <w:noProof/>
              </w:rPr>
              <w:t>Management of Outliers</w:t>
            </w:r>
            <w:r>
              <w:rPr>
                <w:noProof/>
                <w:webHidden/>
              </w:rPr>
              <w:tab/>
            </w:r>
            <w:r>
              <w:rPr>
                <w:noProof/>
                <w:webHidden/>
              </w:rPr>
              <w:fldChar w:fldCharType="begin"/>
            </w:r>
            <w:r>
              <w:rPr>
                <w:noProof/>
                <w:webHidden/>
              </w:rPr>
              <w:instrText xml:space="preserve"> PAGEREF _Toc212207545 \h </w:instrText>
            </w:r>
            <w:r>
              <w:rPr>
                <w:noProof/>
                <w:webHidden/>
              </w:rPr>
            </w:r>
            <w:r>
              <w:rPr>
                <w:noProof/>
                <w:webHidden/>
              </w:rPr>
              <w:fldChar w:fldCharType="separate"/>
            </w:r>
            <w:r>
              <w:rPr>
                <w:noProof/>
                <w:webHidden/>
              </w:rPr>
              <w:t>17</w:t>
            </w:r>
            <w:r>
              <w:rPr>
                <w:noProof/>
                <w:webHidden/>
              </w:rPr>
              <w:fldChar w:fldCharType="end"/>
            </w:r>
          </w:hyperlink>
        </w:p>
        <w:p w14:paraId="58ABCF57" w14:textId="23908C13" w:rsidR="003F49DC" w:rsidRDefault="003F49DC">
          <w:pPr>
            <w:pStyle w:val="TOC1"/>
            <w:rPr>
              <w:rFonts w:eastAsiaTheme="minorEastAsia"/>
              <w:noProof/>
              <w:kern w:val="2"/>
              <w:sz w:val="24"/>
              <w:szCs w:val="24"/>
              <w:lang w:eastAsia="en-GB"/>
              <w14:ligatures w14:val="standardContextual"/>
            </w:rPr>
          </w:pPr>
          <w:hyperlink w:anchor="_Toc212207546" w:history="1">
            <w:r>
              <w:rPr>
                <w:rStyle w:val="Hyperlink"/>
                <w:rFonts w:cstheme="minorHAnsi"/>
                <w:b/>
                <w:bCs/>
                <w:noProof/>
              </w:rPr>
              <w:t>11.</w:t>
            </w:r>
            <w:r>
              <w:rPr>
                <w:rFonts w:eastAsiaTheme="minorEastAsia"/>
                <w:noProof/>
                <w:kern w:val="2"/>
                <w:sz w:val="24"/>
                <w:szCs w:val="24"/>
                <w:lang w:eastAsia="en-GB"/>
                <w14:ligatures w14:val="standardContextual"/>
              </w:rPr>
              <w:tab/>
            </w:r>
            <w:r>
              <w:rPr>
                <w:rStyle w:val="Hyperlink"/>
                <w:rFonts w:cstheme="minorHAnsi"/>
                <w:b/>
                <w:bCs/>
                <w:noProof/>
              </w:rPr>
              <w:t>NACEL helpline support</w:t>
            </w:r>
            <w:r>
              <w:rPr>
                <w:noProof/>
                <w:webHidden/>
              </w:rPr>
              <w:tab/>
            </w:r>
            <w:r>
              <w:rPr>
                <w:noProof/>
                <w:webHidden/>
              </w:rPr>
              <w:fldChar w:fldCharType="begin"/>
            </w:r>
            <w:r>
              <w:rPr>
                <w:noProof/>
                <w:webHidden/>
              </w:rPr>
              <w:instrText xml:space="preserve"> PAGEREF _Toc212207546 \h </w:instrText>
            </w:r>
            <w:r>
              <w:rPr>
                <w:noProof/>
                <w:webHidden/>
              </w:rPr>
            </w:r>
            <w:r>
              <w:rPr>
                <w:noProof/>
                <w:webHidden/>
              </w:rPr>
              <w:fldChar w:fldCharType="separate"/>
            </w:r>
            <w:r>
              <w:rPr>
                <w:noProof/>
                <w:webHidden/>
              </w:rPr>
              <w:t>17</w:t>
            </w:r>
            <w:r>
              <w:rPr>
                <w:noProof/>
                <w:webHidden/>
              </w:rPr>
              <w:fldChar w:fldCharType="end"/>
            </w:r>
          </w:hyperlink>
        </w:p>
        <w:p w14:paraId="7977E5F6" w14:textId="523E2A3A" w:rsidR="008B3996" w:rsidRPr="00AF2AFB" w:rsidRDefault="008B3996">
          <w:r>
            <w:rPr>
              <w:b/>
              <w:bCs/>
            </w:rPr>
            <w:fldChar w:fldCharType="end"/>
          </w:r>
        </w:p>
      </w:sdtContent>
    </w:sdt>
    <w:p w14:paraId="5BB2E2E7" w14:textId="304F93F0" w:rsidR="006124B0" w:rsidRDefault="006124B0" w:rsidP="006124B0">
      <w:r>
        <w:t>The audit guidance document provides operational guidance for all organisations participating in the National Audit of Care at the End of Life (NACEL) 2027. It has been written to support Project Leads, Clinical Audit teams, and staff responsible for data collection, analysis, and improvement. It includes detailed step-by-step guidance, best practice examples, and visual placeholders to help you plan and deliver NACEL successfully.</w:t>
      </w:r>
    </w:p>
    <w:p w14:paraId="5DC2445B" w14:textId="77777777" w:rsidR="009C7960" w:rsidRDefault="009C7960" w:rsidP="00BA51E3">
      <w:pPr>
        <w:rPr>
          <w:rFonts w:cstheme="minorHAnsi"/>
          <w:b/>
        </w:rPr>
      </w:pPr>
    </w:p>
    <w:p w14:paraId="2C6BB274" w14:textId="77777777" w:rsidR="009C7960" w:rsidRDefault="009C7960" w:rsidP="006E210B">
      <w:pPr>
        <w:spacing w:line="276" w:lineRule="auto"/>
        <w:rPr>
          <w:rFonts w:cstheme="minorHAnsi"/>
          <w:b/>
        </w:rPr>
      </w:pPr>
    </w:p>
    <w:p w14:paraId="1E50F4C1" w14:textId="77777777" w:rsidR="009C7960" w:rsidRDefault="009C7960" w:rsidP="006E210B">
      <w:pPr>
        <w:spacing w:line="276" w:lineRule="auto"/>
        <w:rPr>
          <w:rFonts w:cstheme="minorHAnsi"/>
          <w:b/>
        </w:rPr>
      </w:pPr>
    </w:p>
    <w:p w14:paraId="10B54C21" w14:textId="77777777" w:rsidR="00664C95" w:rsidRDefault="00664C95" w:rsidP="006E210B">
      <w:pPr>
        <w:spacing w:line="276" w:lineRule="auto"/>
        <w:rPr>
          <w:rFonts w:cstheme="minorHAnsi"/>
          <w:b/>
        </w:rPr>
      </w:pPr>
    </w:p>
    <w:p w14:paraId="21308638" w14:textId="77777777" w:rsidR="006124B0" w:rsidRDefault="006124B0" w:rsidP="006E210B">
      <w:pPr>
        <w:spacing w:line="276" w:lineRule="auto"/>
        <w:rPr>
          <w:rFonts w:cstheme="minorHAnsi"/>
          <w:b/>
        </w:rPr>
      </w:pPr>
    </w:p>
    <w:p w14:paraId="7309CFA2" w14:textId="77777777" w:rsidR="006124B0" w:rsidRDefault="006124B0" w:rsidP="006E210B">
      <w:pPr>
        <w:spacing w:line="276" w:lineRule="auto"/>
        <w:rPr>
          <w:rFonts w:cstheme="minorHAnsi"/>
          <w:b/>
        </w:rPr>
      </w:pPr>
    </w:p>
    <w:p w14:paraId="0B17CECC" w14:textId="77777777" w:rsidR="00664C95" w:rsidRDefault="00664C95" w:rsidP="006E210B">
      <w:pPr>
        <w:spacing w:line="276" w:lineRule="auto"/>
        <w:rPr>
          <w:rFonts w:cstheme="minorHAnsi"/>
          <w:b/>
        </w:rPr>
      </w:pPr>
    </w:p>
    <w:p w14:paraId="5F47ED87" w14:textId="77777777" w:rsidR="00664C95" w:rsidRDefault="00664C95" w:rsidP="006E210B">
      <w:pPr>
        <w:spacing w:line="276" w:lineRule="auto"/>
        <w:rPr>
          <w:rFonts w:cstheme="minorHAnsi"/>
          <w:b/>
        </w:rPr>
      </w:pPr>
    </w:p>
    <w:p w14:paraId="441FAE92" w14:textId="77777777" w:rsidR="009C7960" w:rsidRDefault="009C7960" w:rsidP="006E210B">
      <w:pPr>
        <w:spacing w:line="276" w:lineRule="auto"/>
        <w:rPr>
          <w:rFonts w:cstheme="minorHAnsi"/>
          <w:b/>
        </w:rPr>
      </w:pPr>
    </w:p>
    <w:p w14:paraId="176AF603" w14:textId="77777777" w:rsidR="005B1DFF" w:rsidRDefault="005B1DFF" w:rsidP="006E210B">
      <w:pPr>
        <w:spacing w:line="276" w:lineRule="auto"/>
        <w:rPr>
          <w:rFonts w:cstheme="minorHAnsi"/>
          <w:b/>
        </w:rPr>
      </w:pPr>
    </w:p>
    <w:p w14:paraId="487C90F5" w14:textId="77777777" w:rsidR="005B1DFF" w:rsidRDefault="005B1DFF" w:rsidP="006E210B">
      <w:pPr>
        <w:spacing w:line="276" w:lineRule="auto"/>
        <w:rPr>
          <w:rFonts w:cstheme="minorHAnsi"/>
          <w:b/>
        </w:rPr>
      </w:pPr>
    </w:p>
    <w:p w14:paraId="13E2A77C" w14:textId="1D5E80DC" w:rsidR="00BA51E3" w:rsidRPr="00AF2AFB" w:rsidRDefault="00482018" w:rsidP="006E210B">
      <w:pPr>
        <w:spacing w:line="276" w:lineRule="auto"/>
        <w:jc w:val="center"/>
        <w:rPr>
          <w:rFonts w:cstheme="minorHAnsi"/>
          <w:b/>
        </w:rPr>
      </w:pPr>
      <w:r>
        <w:rPr>
          <w:rFonts w:cstheme="minorHAnsi"/>
          <w:b/>
        </w:rPr>
        <w:lastRenderedPageBreak/>
        <w:t>NACEL 2027 GUIDANCE NOTES FOR ALL ACUTE AND COMMUNITY ORGANISATIONS IN ENGLAND, WALES AND JERSEY</w:t>
      </w:r>
    </w:p>
    <w:p w14:paraId="7E227E83" w14:textId="77777777" w:rsidR="002B2ECF" w:rsidRPr="002B2ECF" w:rsidRDefault="002B2ECF" w:rsidP="006E210B">
      <w:pPr>
        <w:pStyle w:val="Heading1"/>
        <w:spacing w:line="276" w:lineRule="auto"/>
        <w:rPr>
          <w:rFonts w:asciiTheme="minorHAnsi" w:hAnsiTheme="minorHAnsi" w:cstheme="minorHAnsi"/>
          <w:b/>
          <w:bCs/>
          <w:color w:val="385623" w:themeColor="accent6" w:themeShade="80"/>
          <w:sz w:val="24"/>
          <w:szCs w:val="24"/>
        </w:rPr>
      </w:pPr>
      <w:bookmarkStart w:id="1" w:name="_Introduction"/>
      <w:bookmarkStart w:id="2" w:name="_Toc212207531"/>
      <w:bookmarkEnd w:id="1"/>
      <w:r>
        <w:rPr>
          <w:rFonts w:asciiTheme="minorHAnsi" w:hAnsiTheme="minorHAnsi" w:cstheme="minorHAnsi"/>
          <w:b/>
          <w:bCs/>
          <w:color w:val="385623" w:themeColor="accent6" w:themeShade="80"/>
          <w:sz w:val="24"/>
          <w:szCs w:val="24"/>
        </w:rPr>
        <w:t>1. What’s New in 2027</w:t>
      </w:r>
      <w:bookmarkEnd w:id="2"/>
    </w:p>
    <w:p w14:paraId="0C5C62C7" w14:textId="77777777" w:rsidR="002B2ECF" w:rsidRPr="00CD06A4" w:rsidRDefault="002B2ECF" w:rsidP="006E210B">
      <w:pPr>
        <w:spacing w:line="276" w:lineRule="auto"/>
      </w:pPr>
      <w:r>
        <w:t>NACEL 2027 introduces a range of updates and improvements designed to simplify participation and increase data quality. Key updates include:</w:t>
      </w:r>
    </w:p>
    <w:p w14:paraId="51ABC4FE" w14:textId="77777777" w:rsidR="00C0789E" w:rsidRPr="00C0789E" w:rsidRDefault="00C0789E" w:rsidP="00C0789E">
      <w:pPr>
        <w:pStyle w:val="Style1"/>
      </w:pPr>
      <w:bookmarkStart w:id="3" w:name="_Toc212207532"/>
      <w:bookmarkStart w:id="4" w:name="_Hlk58932113"/>
      <w:r>
        <w:t>The Hospital/Site Overview returns, with a new section on care after death (Fuller Inquiry) and more detailed questions on staff training.</w:t>
      </w:r>
    </w:p>
    <w:p w14:paraId="45B12F0C" w14:textId="77777777" w:rsidR="00C0789E" w:rsidRPr="00C0789E" w:rsidRDefault="00C0789E" w:rsidP="00C0789E">
      <w:pPr>
        <w:pStyle w:val="Style1"/>
      </w:pPr>
      <w:r>
        <w:t>The Staff Reported Measure is paused for 2027.</w:t>
      </w:r>
    </w:p>
    <w:p w14:paraId="3966B2FB" w14:textId="77777777" w:rsidR="00C0789E" w:rsidRPr="00C0789E" w:rsidRDefault="00C0789E" w:rsidP="00C0789E">
      <w:pPr>
        <w:pStyle w:val="Style1"/>
      </w:pPr>
      <w:r>
        <w:t>The Case Note Review has been shortened from 40 to 36 questions, with new questions on best interests advance care planning and the patient’s home postcode sector.</w:t>
      </w:r>
    </w:p>
    <w:p w14:paraId="33ED15EF" w14:textId="77777777" w:rsidR="00C0789E" w:rsidRPr="00C0789E" w:rsidRDefault="00C0789E" w:rsidP="00C0789E">
      <w:pPr>
        <w:pStyle w:val="Style1"/>
      </w:pPr>
      <w:r>
        <w:t>Clearer Case Note Review definitions, including what counts as evidence of advance care planning.</w:t>
      </w:r>
    </w:p>
    <w:p w14:paraId="296F47FE" w14:textId="70061C19" w:rsidR="00C0789E" w:rsidRPr="00C0789E" w:rsidRDefault="00C0789E" w:rsidP="00C0789E">
      <w:pPr>
        <w:pStyle w:val="Style1"/>
      </w:pPr>
      <w:r>
        <w:t>SNOMED codes, where available, are included in the Case Note Review data specification as optional guidance.</w:t>
      </w:r>
    </w:p>
    <w:p w14:paraId="2D29B0C5" w14:textId="77777777" w:rsidR="00C0789E" w:rsidRPr="00C0789E" w:rsidRDefault="00C0789E" w:rsidP="00C0789E">
      <w:pPr>
        <w:pStyle w:val="Style1"/>
      </w:pPr>
      <w:r>
        <w:t>A simpler death count in the Annual Death Data Collection.</w:t>
      </w:r>
    </w:p>
    <w:p w14:paraId="31194168" w14:textId="77777777" w:rsidR="00C0789E" w:rsidRDefault="00C0789E" w:rsidP="00C0789E">
      <w:pPr>
        <w:pStyle w:val="Style1"/>
      </w:pPr>
      <w:r>
        <w:t>The Bereavement Survey questions are unchanged, and the option to include NACEL questions in a local survey continues.</w:t>
      </w:r>
    </w:p>
    <w:p w14:paraId="7CAC49EF" w14:textId="4BF92BFC" w:rsidR="00D94A66" w:rsidRPr="000A1BD4" w:rsidRDefault="000A1BD4" w:rsidP="00C0789E">
      <w:pPr>
        <w:pStyle w:val="Heading1"/>
        <w:spacing w:line="276" w:lineRule="auto"/>
        <w:rPr>
          <w:rFonts w:asciiTheme="minorHAnsi" w:hAnsiTheme="minorHAnsi" w:cstheme="minorHAnsi"/>
          <w:b/>
          <w:bCs/>
          <w:color w:val="385623" w:themeColor="accent6" w:themeShade="80"/>
          <w:sz w:val="24"/>
          <w:szCs w:val="24"/>
        </w:rPr>
      </w:pPr>
      <w:r>
        <w:rPr>
          <w:rFonts w:asciiTheme="minorHAnsi" w:hAnsiTheme="minorHAnsi" w:cstheme="minorHAnsi"/>
          <w:b/>
          <w:bCs/>
          <w:color w:val="385623" w:themeColor="accent6" w:themeShade="80"/>
          <w:sz w:val="24"/>
          <w:szCs w:val="24"/>
        </w:rPr>
        <w:t>2. About NACEL</w:t>
      </w:r>
      <w:bookmarkEnd w:id="3"/>
    </w:p>
    <w:p w14:paraId="03DA3440" w14:textId="56BCE571" w:rsidR="00B3695D" w:rsidRDefault="000A1BD4" w:rsidP="006E210B">
      <w:pPr>
        <w:spacing w:line="276" w:lineRule="auto"/>
      </w:pPr>
      <w:r>
        <w:t xml:space="preserve">The National Audit of Care at the End of Life (NACEL) is </w:t>
      </w:r>
      <w:r>
        <w:rPr>
          <w:rFonts w:cstheme="minorHAnsi"/>
        </w:rPr>
        <w:t xml:space="preserve">a national comparative audit of the quality and outcomes of care experienced by the dying person and those important to </w:t>
      </w:r>
      <w:r>
        <w:t>them. NACEL aims to drive measurable improvements in the quality and equity of end-of-life care across NHS providers in England, Wales, and Jersey.</w:t>
      </w:r>
    </w:p>
    <w:p w14:paraId="610D7858" w14:textId="77777777" w:rsidR="00487306" w:rsidRDefault="00487306" w:rsidP="006E210B">
      <w:pPr>
        <w:spacing w:line="276" w:lineRule="auto"/>
      </w:pPr>
      <w:r>
        <w:t xml:space="preserve">The audit is delivered by NHS Benchmarking Network (NHSBN) and commissioned by the Healthcare Quality Improvement Partnership (HQIP), on behalf of NHS England and the Governments of Wales and Jersey. </w:t>
      </w:r>
    </w:p>
    <w:p w14:paraId="3998279B" w14:textId="77777777" w:rsidR="00177243" w:rsidRDefault="00CC5D1E">
      <w:pPr>
        <w:spacing w:line="276" w:lineRule="auto"/>
      </w:pPr>
      <w:r>
        <w:t>Participation is a contractual requirement for all NHS providers delivering adult inpatient care in acute and community hospitals. The NHS Standard Contract mandates participation in national clinical audits, submission of audit data, and engagement in national outlier processes. The Welsh Health Circular (WHC) for the National Clinical Audit and Outcome Review Plan outlines that health boards and trusts in Wales are required to fully participate in NACEL.</w:t>
      </w:r>
    </w:p>
    <w:p w14:paraId="776DC4B2" w14:textId="2514AF38" w:rsidR="00AF7D69" w:rsidRDefault="00AF7D69" w:rsidP="006E210B">
      <w:pPr>
        <w:spacing w:line="276" w:lineRule="auto"/>
      </w:pPr>
      <w:r>
        <w:t>NACEL is open to all NHS acute and community hospital providers in England, Wales and Jersey, including Community Interest Companies (CICs) that deliver NHS-funded inpatient care. Exclusions: NACEL does not include deaths of patients aged under 18, deaths occurring in A&amp;E, deaths within 4 hours of admission, sudden deaths, suicides, or maternal deaths.</w:t>
      </w:r>
    </w:p>
    <w:p w14:paraId="5EDA2498" w14:textId="66DC774C" w:rsidR="00BA51E3" w:rsidRPr="00AF2AFB" w:rsidRDefault="00BA51E3" w:rsidP="006E210B">
      <w:pPr>
        <w:spacing w:line="276" w:lineRule="auto"/>
        <w:rPr>
          <w:rStyle w:val="Hyperlink"/>
          <w:rFonts w:cstheme="minorHAnsi"/>
        </w:rPr>
      </w:pPr>
      <w:r>
        <w:t xml:space="preserve">You can find out more about </w:t>
      </w:r>
      <w:r>
        <w:rPr>
          <w:rFonts w:cstheme="minorHAnsi"/>
        </w:rPr>
        <w:t xml:space="preserve">NACEL here: </w:t>
      </w:r>
      <w:hyperlink r:id="rId11" w:history="1">
        <w:r>
          <w:rPr>
            <w:rStyle w:val="Hyperlink"/>
          </w:rPr>
          <w:t>www.nacel.nhs.uk</w:t>
        </w:r>
      </w:hyperlink>
      <w:r>
        <w:t>.</w:t>
      </w:r>
      <w:r>
        <w:rPr>
          <w:rFonts w:cstheme="minorHAnsi"/>
        </w:rPr>
        <w:t xml:space="preserve">  The NACEL 2027 data specifications can be downloaded from the </w:t>
      </w:r>
      <w:hyperlink r:id="rId12" w:history="1">
        <w:r>
          <w:rPr>
            <w:rStyle w:val="Hyperlink"/>
            <w:rFonts w:cstheme="minorHAnsi"/>
          </w:rPr>
          <w:t>NACEL guidance webpage.</w:t>
        </w:r>
      </w:hyperlink>
    </w:p>
    <w:p w14:paraId="3FB73FFD" w14:textId="21F5DD11" w:rsidR="003E6BA8" w:rsidRPr="00AF2AFB" w:rsidRDefault="003E6BA8" w:rsidP="006E210B">
      <w:pPr>
        <w:spacing w:line="276" w:lineRule="auto"/>
        <w:rPr>
          <w:rStyle w:val="Hyperlink"/>
          <w:rFonts w:cstheme="minorHAnsi"/>
        </w:rPr>
      </w:pPr>
      <w:r>
        <w:rPr>
          <w:rFonts w:cstheme="minorHAnsi"/>
        </w:rPr>
        <w:t xml:space="preserve">For queries, please contact the NACEL Support Team by phone on 0161 521 0866 or via email: </w:t>
      </w:r>
      <w:hyperlink r:id="rId13" w:history="1">
        <w:r>
          <w:rPr>
            <w:rStyle w:val="Hyperlink"/>
            <w:rFonts w:cstheme="minorHAnsi"/>
          </w:rPr>
          <w:t>nhsbn.nacelsupport@nhs.net</w:t>
        </w:r>
      </w:hyperlink>
    </w:p>
    <w:p w14:paraId="25A390E3" w14:textId="3DF9AD44" w:rsidR="00BA51E3" w:rsidRPr="005B1DFF" w:rsidRDefault="00BA51E3" w:rsidP="006E210B">
      <w:pPr>
        <w:spacing w:line="276" w:lineRule="auto"/>
        <w:rPr>
          <w:b/>
          <w:bCs/>
          <w:sz w:val="24"/>
          <w:szCs w:val="24"/>
        </w:rPr>
      </w:pPr>
      <w:bookmarkStart w:id="5" w:name="_Toc151479523"/>
      <w:bookmarkStart w:id="6" w:name="_Toc151479562"/>
      <w:bookmarkEnd w:id="5"/>
      <w:bookmarkEnd w:id="6"/>
      <w:r>
        <w:rPr>
          <w:b/>
          <w:bCs/>
          <w:sz w:val="24"/>
          <w:szCs w:val="24"/>
        </w:rPr>
        <w:t>NACEL scope</w:t>
      </w:r>
    </w:p>
    <w:p w14:paraId="091B8F73" w14:textId="19E19E18" w:rsidR="001B17BB" w:rsidRPr="00AF2AFB" w:rsidRDefault="00BA51E3" w:rsidP="006E210B">
      <w:pPr>
        <w:spacing w:line="276" w:lineRule="auto"/>
        <w:contextualSpacing/>
      </w:pPr>
      <w:r>
        <w:rPr>
          <w:rFonts w:cstheme="minorHAnsi"/>
        </w:rPr>
        <w:lastRenderedPageBreak/>
        <w:t>NACEL 2027 is open to all NHS acute and community hospital providers in England, Wales and Jersey, including Community Interest Companies (CICs) that deliver NHS-funded inpatient care to adults (18+). The period of review is 1</w:t>
      </w:r>
      <w:r>
        <w:rPr>
          <w:rFonts w:cstheme="minorHAnsi"/>
          <w:vertAlign w:val="superscript"/>
        </w:rPr>
        <w:t>st</w:t>
      </w:r>
      <w:r>
        <w:rPr>
          <w:rFonts w:cstheme="minorHAnsi"/>
        </w:rPr>
        <w:t xml:space="preserve"> January – 31</w:t>
      </w:r>
      <w:r>
        <w:rPr>
          <w:rFonts w:cstheme="minorHAnsi"/>
          <w:vertAlign w:val="superscript"/>
        </w:rPr>
        <w:t>st</w:t>
      </w:r>
      <w:r>
        <w:rPr>
          <w:rFonts w:cstheme="minorHAnsi"/>
        </w:rPr>
        <w:t xml:space="preserve"> December 2027. </w:t>
      </w:r>
    </w:p>
    <w:p w14:paraId="4685585D" w14:textId="77777777" w:rsidR="00C14822" w:rsidRDefault="00C14822" w:rsidP="006E210B">
      <w:pPr>
        <w:spacing w:line="276" w:lineRule="auto"/>
        <w:contextualSpacing/>
        <w:rPr>
          <w:rFonts w:cstheme="minorHAnsi"/>
        </w:rPr>
      </w:pPr>
    </w:p>
    <w:tbl>
      <w:tblPr>
        <w:tblStyle w:val="TableGrid"/>
        <w:tblW w:w="0" w:type="auto"/>
        <w:tblLook w:val="04A0" w:firstRow="1" w:lastRow="0" w:firstColumn="1" w:lastColumn="0" w:noHBand="0" w:noVBand="1"/>
      </w:tblPr>
      <w:tblGrid>
        <w:gridCol w:w="1696"/>
        <w:gridCol w:w="7320"/>
      </w:tblGrid>
      <w:tr w:rsidR="00C14822" w14:paraId="7F7B0DE1" w14:textId="77777777" w:rsidTr="00C14822">
        <w:trPr>
          <w:trHeight w:val="157"/>
        </w:trPr>
        <w:tc>
          <w:tcPr>
            <w:tcW w:w="9016" w:type="dxa"/>
            <w:gridSpan w:val="2"/>
            <w:shd w:val="clear" w:color="auto" w:fill="375623" w:themeFill="accent1"/>
          </w:tcPr>
          <w:p w14:paraId="7E972963" w14:textId="7B842BDD" w:rsidR="00C14822" w:rsidRPr="00C14822" w:rsidRDefault="00C14822" w:rsidP="006E210B">
            <w:pPr>
              <w:spacing w:line="276" w:lineRule="auto"/>
              <w:contextualSpacing/>
              <w:rPr>
                <w:rFonts w:cstheme="minorHAnsi"/>
                <w:color w:val="FFFFFF" w:themeColor="background1"/>
              </w:rPr>
            </w:pPr>
            <w:r>
              <w:rPr>
                <w:b/>
                <w:bCs/>
                <w:color w:val="FFFFFF" w:themeColor="background1"/>
              </w:rPr>
              <w:t xml:space="preserve">Population inclusion criteria: </w:t>
            </w:r>
          </w:p>
        </w:tc>
      </w:tr>
      <w:tr w:rsidR="00C14822" w14:paraId="13521373" w14:textId="77777777" w:rsidTr="00C14822">
        <w:trPr>
          <w:trHeight w:val="132"/>
        </w:trPr>
        <w:tc>
          <w:tcPr>
            <w:tcW w:w="1696" w:type="dxa"/>
          </w:tcPr>
          <w:p w14:paraId="2ED06A33" w14:textId="7B419141" w:rsidR="00C14822" w:rsidRPr="00C14822" w:rsidRDefault="00C14822" w:rsidP="006E210B">
            <w:pPr>
              <w:spacing w:line="276" w:lineRule="auto"/>
              <w:rPr>
                <w:b/>
                <w:bCs/>
              </w:rPr>
            </w:pPr>
            <w:r>
              <w:rPr>
                <w:b/>
                <w:bCs/>
              </w:rPr>
              <w:t>Services</w:t>
            </w:r>
          </w:p>
        </w:tc>
        <w:tc>
          <w:tcPr>
            <w:tcW w:w="7320" w:type="dxa"/>
          </w:tcPr>
          <w:p w14:paraId="0C86EAF1" w14:textId="1AA6742C" w:rsidR="00C14822" w:rsidRPr="00C14822" w:rsidRDefault="00C14822" w:rsidP="006E210B">
            <w:pPr>
              <w:spacing w:line="276" w:lineRule="auto"/>
              <w:rPr>
                <w:rFonts w:cstheme="minorHAnsi"/>
              </w:rPr>
            </w:pPr>
            <w:r>
              <w:t>NHS acute and community hospital providers, including Community Interest Companies (CICs) that deliver NHS-funded inpatient care</w:t>
            </w:r>
          </w:p>
        </w:tc>
      </w:tr>
      <w:tr w:rsidR="00C14822" w14:paraId="0226955E" w14:textId="77777777" w:rsidTr="00C14822">
        <w:trPr>
          <w:trHeight w:val="249"/>
        </w:trPr>
        <w:tc>
          <w:tcPr>
            <w:tcW w:w="1696" w:type="dxa"/>
          </w:tcPr>
          <w:p w14:paraId="4EC0D1E8" w14:textId="46AEEE71" w:rsidR="00C14822" w:rsidRPr="00C14822" w:rsidRDefault="00C14822" w:rsidP="006E210B">
            <w:pPr>
              <w:spacing w:line="276" w:lineRule="auto"/>
              <w:contextualSpacing/>
              <w:rPr>
                <w:rFonts w:cstheme="minorHAnsi"/>
                <w:b/>
                <w:bCs/>
              </w:rPr>
            </w:pPr>
            <w:r>
              <w:rPr>
                <w:rFonts w:cstheme="minorHAnsi"/>
                <w:b/>
                <w:bCs/>
              </w:rPr>
              <w:t>Service users</w:t>
            </w:r>
          </w:p>
        </w:tc>
        <w:tc>
          <w:tcPr>
            <w:tcW w:w="7320" w:type="dxa"/>
          </w:tcPr>
          <w:p w14:paraId="564194C9" w14:textId="4858AEEF" w:rsidR="00C14822" w:rsidRDefault="00C14822" w:rsidP="006E210B">
            <w:pPr>
              <w:spacing w:line="276" w:lineRule="auto"/>
              <w:contextualSpacing/>
              <w:rPr>
                <w:rFonts w:cstheme="minorHAnsi"/>
              </w:rPr>
            </w:pPr>
            <w:r>
              <w:t>The audit covers all adult deaths (aged 18 and above at the time of death) focused on the last admission to hospital</w:t>
            </w:r>
          </w:p>
        </w:tc>
      </w:tr>
      <w:tr w:rsidR="00C14822" w14:paraId="254E0AA5" w14:textId="77777777" w:rsidTr="00C14822">
        <w:trPr>
          <w:trHeight w:val="471"/>
        </w:trPr>
        <w:tc>
          <w:tcPr>
            <w:tcW w:w="1696" w:type="dxa"/>
          </w:tcPr>
          <w:p w14:paraId="023B9CAA" w14:textId="77777777" w:rsidR="00C14822" w:rsidRPr="00C14822" w:rsidRDefault="00C14822" w:rsidP="006E210B">
            <w:pPr>
              <w:spacing w:line="276" w:lineRule="auto"/>
              <w:rPr>
                <w:b/>
                <w:bCs/>
              </w:rPr>
            </w:pPr>
            <w:bookmarkStart w:id="7" w:name="_Toc94859979"/>
            <w:r>
              <w:rPr>
                <w:b/>
                <w:bCs/>
              </w:rPr>
              <w:t>Geographical coverage</w:t>
            </w:r>
            <w:bookmarkEnd w:id="7"/>
          </w:p>
          <w:p w14:paraId="1D3CE2AF" w14:textId="77777777" w:rsidR="00C14822" w:rsidRDefault="00C14822" w:rsidP="006E210B">
            <w:pPr>
              <w:spacing w:line="276" w:lineRule="auto"/>
              <w:contextualSpacing/>
              <w:rPr>
                <w:rFonts w:cstheme="minorHAnsi"/>
              </w:rPr>
            </w:pPr>
          </w:p>
        </w:tc>
        <w:tc>
          <w:tcPr>
            <w:tcW w:w="7320" w:type="dxa"/>
          </w:tcPr>
          <w:p w14:paraId="43D11B82" w14:textId="2ECA5F50" w:rsidR="00C14822" w:rsidRPr="00C14822" w:rsidRDefault="00C14822" w:rsidP="006E210B">
            <w:pPr>
              <w:spacing w:line="276" w:lineRule="auto"/>
            </w:pPr>
            <w:r>
              <w:t>England, Wales and Bailiwick of Jersey</w:t>
            </w:r>
          </w:p>
        </w:tc>
      </w:tr>
      <w:tr w:rsidR="00C14822" w14:paraId="087EABB7" w14:textId="77777777" w:rsidTr="00C14822">
        <w:trPr>
          <w:trHeight w:val="471"/>
        </w:trPr>
        <w:tc>
          <w:tcPr>
            <w:tcW w:w="1696" w:type="dxa"/>
          </w:tcPr>
          <w:p w14:paraId="7146B61E" w14:textId="77777777" w:rsidR="00C14822" w:rsidRPr="00C14822" w:rsidRDefault="00C14822" w:rsidP="006E210B">
            <w:pPr>
              <w:spacing w:line="276" w:lineRule="auto"/>
              <w:rPr>
                <w:b/>
                <w:bCs/>
              </w:rPr>
            </w:pPr>
            <w:r>
              <w:rPr>
                <w:b/>
                <w:bCs/>
              </w:rPr>
              <w:t xml:space="preserve">Population exclusion criteria </w:t>
            </w:r>
          </w:p>
          <w:p w14:paraId="5511C69E" w14:textId="77777777" w:rsidR="00C14822" w:rsidRPr="00C14822" w:rsidRDefault="00C14822" w:rsidP="006E210B">
            <w:pPr>
              <w:spacing w:line="276" w:lineRule="auto"/>
              <w:rPr>
                <w:b/>
                <w:bCs/>
              </w:rPr>
            </w:pPr>
          </w:p>
        </w:tc>
        <w:tc>
          <w:tcPr>
            <w:tcW w:w="7320" w:type="dxa"/>
          </w:tcPr>
          <w:p w14:paraId="5032F462" w14:textId="77777777" w:rsidR="00C14822" w:rsidRPr="00C14822" w:rsidRDefault="00C14822" w:rsidP="006E210B">
            <w:pPr>
              <w:tabs>
                <w:tab w:val="left" w:pos="1701"/>
                <w:tab w:val="left" w:pos="3261"/>
              </w:tabs>
              <w:spacing w:line="276" w:lineRule="auto"/>
            </w:pPr>
            <w:r>
              <w:t>Deaths of people in the following categories are not included in the audit:</w:t>
            </w:r>
          </w:p>
          <w:p w14:paraId="4DD625A6" w14:textId="77777777" w:rsidR="00C14822" w:rsidRPr="00C14822" w:rsidRDefault="00C14822" w:rsidP="006E210B">
            <w:pPr>
              <w:pStyle w:val="ListParagraph"/>
              <w:numPr>
                <w:ilvl w:val="0"/>
                <w:numId w:val="13"/>
              </w:numPr>
              <w:spacing w:line="276" w:lineRule="auto"/>
              <w:ind w:left="177" w:firstLine="35"/>
            </w:pPr>
            <w:r>
              <w:t>Children and young people (&lt;18 years at the time of death)</w:t>
            </w:r>
          </w:p>
          <w:p w14:paraId="635D052A" w14:textId="77777777" w:rsidR="00C14822" w:rsidRPr="00C14822" w:rsidRDefault="00C14822" w:rsidP="006E210B">
            <w:pPr>
              <w:pStyle w:val="ListParagraph"/>
              <w:numPr>
                <w:ilvl w:val="0"/>
                <w:numId w:val="13"/>
              </w:numPr>
              <w:spacing w:line="276" w:lineRule="auto"/>
              <w:ind w:left="177" w:firstLine="35"/>
            </w:pPr>
            <w:r>
              <w:t>Deaths occurring in A&amp;E</w:t>
            </w:r>
          </w:p>
          <w:p w14:paraId="59F636CD" w14:textId="77777777" w:rsidR="00C14822" w:rsidRPr="00C14822" w:rsidRDefault="00C14822" w:rsidP="006E210B">
            <w:pPr>
              <w:pStyle w:val="ListParagraph"/>
              <w:numPr>
                <w:ilvl w:val="0"/>
                <w:numId w:val="13"/>
              </w:numPr>
              <w:spacing w:line="276" w:lineRule="auto"/>
              <w:ind w:left="177" w:firstLine="35"/>
            </w:pPr>
            <w:r>
              <w:t>Deaths occurring in under 4 hours after admission</w:t>
            </w:r>
          </w:p>
          <w:p w14:paraId="25FD7BAF" w14:textId="126C25E3" w:rsidR="00C14822" w:rsidRPr="00C14822" w:rsidRDefault="00C14822" w:rsidP="006E210B">
            <w:pPr>
              <w:pStyle w:val="ListParagraph"/>
              <w:numPr>
                <w:ilvl w:val="0"/>
                <w:numId w:val="13"/>
              </w:numPr>
              <w:spacing w:line="276" w:lineRule="auto"/>
              <w:ind w:left="177" w:firstLine="35"/>
            </w:pPr>
            <w:r>
              <w:t>Sudden deaths</w:t>
            </w:r>
          </w:p>
          <w:p w14:paraId="7CF05CC7" w14:textId="77777777" w:rsidR="00354753" w:rsidRDefault="00881F75">
            <w:pPr>
              <w:pStyle w:val="ListParagraph"/>
              <w:numPr>
                <w:ilvl w:val="0"/>
                <w:numId w:val="13"/>
              </w:numPr>
              <w:spacing w:line="276" w:lineRule="auto"/>
              <w:ind w:left="177" w:firstLine="35"/>
            </w:pPr>
            <w:r>
              <w:t>Suicides</w:t>
            </w:r>
          </w:p>
          <w:p w14:paraId="030BBC15" w14:textId="77777777" w:rsidR="00354753" w:rsidRDefault="00881F75">
            <w:pPr>
              <w:pStyle w:val="ListParagraph"/>
              <w:numPr>
                <w:ilvl w:val="0"/>
                <w:numId w:val="13"/>
              </w:numPr>
              <w:spacing w:line="276" w:lineRule="auto"/>
              <w:ind w:left="177" w:firstLine="35"/>
            </w:pPr>
            <w:r>
              <w:t>Maternal deaths</w:t>
            </w:r>
          </w:p>
        </w:tc>
      </w:tr>
    </w:tbl>
    <w:p w14:paraId="09CA9C74" w14:textId="77777777" w:rsidR="00C14822" w:rsidRPr="00AF2AFB" w:rsidRDefault="00C14822" w:rsidP="006E210B">
      <w:pPr>
        <w:spacing w:line="276" w:lineRule="auto"/>
        <w:contextualSpacing/>
        <w:rPr>
          <w:rFonts w:cstheme="minorHAnsi"/>
        </w:rPr>
      </w:pPr>
    </w:p>
    <w:p w14:paraId="6AA0A28A" w14:textId="523EE488" w:rsidR="00743663" w:rsidRPr="00AF2AFB" w:rsidRDefault="009D0491" w:rsidP="006E210B">
      <w:pPr>
        <w:spacing w:line="276" w:lineRule="auto"/>
        <w:contextualSpacing/>
      </w:pPr>
      <w:r>
        <w:t xml:space="preserve">The </w:t>
      </w:r>
      <w:hyperlink r:id="rId14" w:history="1">
        <w:r>
          <w:rPr>
            <w:rStyle w:val="Hyperlink"/>
          </w:rPr>
          <w:t>NACEL Driver Diagram</w:t>
        </w:r>
      </w:hyperlink>
      <w:r>
        <w:rPr>
          <w:rStyle w:val="Hyperlink"/>
          <w:u w:val="none"/>
        </w:rPr>
        <w:t xml:space="preserve"> </w:t>
      </w:r>
      <w:r>
        <w:rPr>
          <w:rStyle w:val="Hyperlink"/>
          <w:color w:val="auto"/>
          <w:u w:val="none"/>
        </w:rPr>
        <w:t>outlines the f</w:t>
      </w:r>
      <w:r>
        <w:t xml:space="preserve">ramework to audit care and drive quality improvement at the end of life, whereby all metrics are reported against the primary drivers. </w:t>
      </w:r>
    </w:p>
    <w:p w14:paraId="2B42E0E0" w14:textId="3A21435F" w:rsidR="00BA51E3" w:rsidRPr="00AF2AFB" w:rsidRDefault="00482018" w:rsidP="006E210B">
      <w:pPr>
        <w:pStyle w:val="Heading1"/>
        <w:spacing w:line="276" w:lineRule="auto"/>
        <w:rPr>
          <w:rFonts w:asciiTheme="minorHAnsi" w:hAnsiTheme="minorHAnsi" w:cstheme="minorHAnsi"/>
          <w:b/>
          <w:bCs/>
          <w:color w:val="385623" w:themeColor="accent6" w:themeShade="80"/>
          <w:sz w:val="24"/>
          <w:szCs w:val="24"/>
        </w:rPr>
      </w:pPr>
      <w:bookmarkStart w:id="8" w:name="_Key_dates"/>
      <w:bookmarkStart w:id="9" w:name="_Toc212207533"/>
      <w:bookmarkEnd w:id="4"/>
      <w:bookmarkEnd w:id="8"/>
      <w:r>
        <w:rPr>
          <w:rFonts w:asciiTheme="minorHAnsi" w:hAnsiTheme="minorHAnsi" w:cstheme="minorHAnsi"/>
          <w:b/>
          <w:bCs/>
          <w:color w:val="385623" w:themeColor="accent6" w:themeShade="80"/>
          <w:sz w:val="24"/>
          <w:szCs w:val="24"/>
        </w:rPr>
        <w:t>3. Key dates</w:t>
      </w:r>
      <w:bookmarkEnd w:id="9"/>
    </w:p>
    <w:p w14:paraId="1B75C649" w14:textId="38491EA7" w:rsidR="008D073D" w:rsidRPr="00F23F77" w:rsidRDefault="00C12BAD" w:rsidP="006E210B">
      <w:pPr>
        <w:spacing w:line="276" w:lineRule="auto"/>
      </w:pPr>
      <w:r>
        <w:t xml:space="preserve">Data collection will run throughout the year. The data will be reported back to providers via the Data and Improvement Tool in real time from April 2027. An overview of the timescales is shown below, with more detailed information available on the </w:t>
      </w:r>
      <w:hyperlink r:id="rId15">
        <w:r>
          <w:rPr>
            <w:rStyle w:val="Hyperlink"/>
          </w:rPr>
          <w:t>Key Dates</w:t>
        </w:r>
      </w:hyperlink>
      <w:r>
        <w:t xml:space="preserve"> section of the </w:t>
      </w:r>
      <w:hyperlink r:id="rId16">
        <w:r>
          <w:rPr>
            <w:rStyle w:val="Hyperlink"/>
          </w:rPr>
          <w:t>NACEL Portal</w:t>
        </w:r>
      </w:hyperlink>
      <w:r>
        <w:t>.</w:t>
      </w:r>
    </w:p>
    <w:tbl>
      <w:tblPr>
        <w:tblW w:w="92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43"/>
        <w:gridCol w:w="3118"/>
        <w:gridCol w:w="3893"/>
      </w:tblGrid>
      <w:tr w:rsidR="00957814" w:rsidRPr="00AF2AFB" w14:paraId="2D7ECFE6" w14:textId="77777777" w:rsidTr="00957814">
        <w:trPr>
          <w:trHeight w:val="166"/>
        </w:trPr>
        <w:tc>
          <w:tcPr>
            <w:tcW w:w="2243" w:type="dxa"/>
            <w:shd w:val="clear" w:color="auto" w:fill="28590F"/>
            <w:tcMar>
              <w:top w:w="15" w:type="dxa"/>
              <w:left w:w="108" w:type="dxa"/>
              <w:right w:w="108" w:type="dxa"/>
            </w:tcMar>
            <w:vAlign w:val="center"/>
          </w:tcPr>
          <w:p w14:paraId="7EB79415" w14:textId="0262ECC7" w:rsidR="00957814" w:rsidRPr="00AF2AFB" w:rsidRDefault="00957814" w:rsidP="006E210B">
            <w:pPr>
              <w:spacing w:after="0" w:line="276" w:lineRule="auto"/>
              <w:jc w:val="center"/>
              <w:rPr>
                <w:rFonts w:ascii="Calibri" w:eastAsia="Calibri" w:hAnsi="Calibri" w:cs="Calibri"/>
                <w:b/>
                <w:bCs/>
                <w:color w:val="F8FAF8"/>
                <w:sz w:val="20"/>
                <w:szCs w:val="20"/>
              </w:rPr>
            </w:pPr>
            <w:r>
              <w:rPr>
                <w:rFonts w:ascii="Calibri" w:eastAsia="Calibri" w:hAnsi="Calibri" w:cs="Calibri"/>
                <w:b/>
                <w:bCs/>
                <w:color w:val="F8FAF8"/>
                <w:sz w:val="20"/>
                <w:szCs w:val="20"/>
              </w:rPr>
              <w:t>Audit element</w:t>
            </w:r>
          </w:p>
        </w:tc>
        <w:tc>
          <w:tcPr>
            <w:tcW w:w="3118" w:type="dxa"/>
            <w:shd w:val="clear" w:color="auto" w:fill="28590F"/>
            <w:tcMar>
              <w:top w:w="15" w:type="dxa"/>
              <w:left w:w="108" w:type="dxa"/>
              <w:right w:w="108" w:type="dxa"/>
            </w:tcMar>
            <w:vAlign w:val="center"/>
          </w:tcPr>
          <w:p w14:paraId="26BFBD10" w14:textId="555921AB" w:rsidR="00957814" w:rsidRPr="00AF2AFB" w:rsidRDefault="00957814" w:rsidP="006E210B">
            <w:pPr>
              <w:spacing w:after="0" w:line="276" w:lineRule="auto"/>
              <w:jc w:val="center"/>
              <w:rPr>
                <w:rFonts w:ascii="Calibri" w:eastAsia="Calibri" w:hAnsi="Calibri" w:cs="Calibri"/>
                <w:b/>
                <w:bCs/>
                <w:color w:val="FFFFFF" w:themeColor="background1"/>
                <w:sz w:val="20"/>
                <w:szCs w:val="20"/>
              </w:rPr>
            </w:pPr>
            <w:r>
              <w:rPr>
                <w:rFonts w:ascii="Calibri" w:eastAsia="Calibri" w:hAnsi="Calibri" w:cs="Calibri"/>
                <w:b/>
                <w:bCs/>
                <w:color w:val="FFFFFF" w:themeColor="background1"/>
                <w:sz w:val="20"/>
                <w:szCs w:val="20"/>
              </w:rPr>
              <w:t>Data collection timescales</w:t>
            </w:r>
          </w:p>
        </w:tc>
        <w:tc>
          <w:tcPr>
            <w:tcW w:w="3893" w:type="dxa"/>
            <w:shd w:val="clear" w:color="auto" w:fill="28590F"/>
            <w:tcMar>
              <w:top w:w="15" w:type="dxa"/>
              <w:left w:w="108" w:type="dxa"/>
              <w:right w:w="108" w:type="dxa"/>
            </w:tcMar>
            <w:vAlign w:val="center"/>
          </w:tcPr>
          <w:p w14:paraId="3BB09961" w14:textId="28224AE9" w:rsidR="00957814" w:rsidRPr="00AF2AFB" w:rsidRDefault="00957814" w:rsidP="006E210B">
            <w:pPr>
              <w:spacing w:after="0" w:line="276" w:lineRule="auto"/>
              <w:jc w:val="center"/>
              <w:rPr>
                <w:rFonts w:ascii="Calibri" w:eastAsia="Calibri" w:hAnsi="Calibri" w:cs="Calibri"/>
                <w:b/>
                <w:bCs/>
                <w:color w:val="FFFFFF" w:themeColor="background1"/>
                <w:sz w:val="20"/>
                <w:szCs w:val="20"/>
              </w:rPr>
            </w:pPr>
            <w:r>
              <w:rPr>
                <w:rFonts w:ascii="Calibri" w:eastAsia="Calibri" w:hAnsi="Calibri" w:cs="Calibri"/>
                <w:b/>
                <w:bCs/>
                <w:color w:val="FFFFFF" w:themeColor="background1"/>
                <w:sz w:val="20"/>
                <w:szCs w:val="20"/>
              </w:rPr>
              <w:t>Period of deaths audited</w:t>
            </w:r>
          </w:p>
        </w:tc>
      </w:tr>
      <w:tr w:rsidR="00957814" w:rsidRPr="00AF2AFB" w14:paraId="7621EA65" w14:textId="77777777" w:rsidTr="00957814">
        <w:trPr>
          <w:trHeight w:val="372"/>
        </w:trPr>
        <w:tc>
          <w:tcPr>
            <w:tcW w:w="2243" w:type="dxa"/>
            <w:vMerge w:val="restart"/>
            <w:shd w:val="clear" w:color="auto" w:fill="28590F"/>
            <w:tcMar>
              <w:top w:w="15" w:type="dxa"/>
              <w:left w:w="69" w:type="dxa"/>
              <w:right w:w="69" w:type="dxa"/>
            </w:tcMar>
            <w:vAlign w:val="center"/>
          </w:tcPr>
          <w:p w14:paraId="44D678E0" w14:textId="741F8887" w:rsidR="00957814" w:rsidRPr="00AF2AFB" w:rsidRDefault="00957814" w:rsidP="006E210B">
            <w:pPr>
              <w:spacing w:after="0" w:line="276" w:lineRule="auto"/>
              <w:jc w:val="center"/>
              <w:rPr>
                <w:rFonts w:ascii="Calibri" w:eastAsia="Calibri" w:hAnsi="Calibri" w:cs="Calibri"/>
                <w:b/>
                <w:bCs/>
                <w:color w:val="F8FAF8"/>
                <w:sz w:val="20"/>
                <w:szCs w:val="20"/>
              </w:rPr>
            </w:pPr>
            <w:r>
              <w:rPr>
                <w:rFonts w:ascii="Calibri" w:eastAsia="Calibri" w:hAnsi="Calibri" w:cs="Calibri"/>
                <w:b/>
                <w:bCs/>
                <w:color w:val="F8FAF8"/>
                <w:sz w:val="20"/>
                <w:szCs w:val="20"/>
              </w:rPr>
              <w:t>Case Note Review</w:t>
            </w:r>
          </w:p>
        </w:tc>
        <w:tc>
          <w:tcPr>
            <w:tcW w:w="3118" w:type="dxa"/>
            <w:tcMar>
              <w:top w:w="15" w:type="dxa"/>
              <w:left w:w="69" w:type="dxa"/>
              <w:right w:w="69" w:type="dxa"/>
            </w:tcMar>
            <w:vAlign w:val="center"/>
          </w:tcPr>
          <w:p w14:paraId="0925BDA2" w14:textId="088B97CB" w:rsidR="00957814" w:rsidRPr="00AF2AFB" w:rsidRDefault="00957814" w:rsidP="006E210B">
            <w:pPr>
              <w:spacing w:after="0" w:line="276" w:lineRule="auto"/>
              <w:jc w:val="center"/>
              <w:rPr>
                <w:rFonts w:ascii="Calibri" w:eastAsia="Calibri" w:hAnsi="Calibri" w:cs="Calibri"/>
                <w:color w:val="000000" w:themeColor="text1"/>
                <w:sz w:val="20"/>
                <w:szCs w:val="20"/>
              </w:rPr>
            </w:pPr>
            <w:r>
              <w:rPr>
                <w:rFonts w:ascii="Calibri" w:eastAsia="Calibri" w:hAnsi="Calibri" w:cs="Calibri"/>
                <w:color w:val="000000" w:themeColor="text1"/>
                <w:sz w:val="20"/>
                <w:szCs w:val="20"/>
              </w:rPr>
              <w:t>18</w:t>
            </w:r>
            <w:r>
              <w:rPr>
                <w:rFonts w:ascii="Calibri" w:eastAsia="Calibri" w:hAnsi="Calibri" w:cs="Calibri"/>
                <w:color w:val="000000" w:themeColor="text1"/>
                <w:sz w:val="20"/>
                <w:szCs w:val="20"/>
                <w:vertAlign w:val="superscript"/>
              </w:rPr>
              <w:t>th</w:t>
            </w:r>
            <w:r>
              <w:rPr>
                <w:rFonts w:ascii="Calibri" w:eastAsia="Calibri" w:hAnsi="Calibri" w:cs="Calibri"/>
                <w:color w:val="000000" w:themeColor="text1"/>
                <w:sz w:val="20"/>
                <w:szCs w:val="20"/>
              </w:rPr>
              <w:t xml:space="preserve"> January 2027 – 11</w:t>
            </w:r>
            <w:r>
              <w:rPr>
                <w:rFonts w:ascii="Calibri" w:eastAsia="Calibri" w:hAnsi="Calibri" w:cs="Calibri"/>
                <w:color w:val="000000" w:themeColor="text1"/>
                <w:sz w:val="20"/>
                <w:szCs w:val="20"/>
                <w:vertAlign w:val="superscript"/>
              </w:rPr>
              <w:t>th</w:t>
            </w:r>
            <w:r>
              <w:rPr>
                <w:rFonts w:ascii="Calibri" w:eastAsia="Calibri" w:hAnsi="Calibri" w:cs="Calibri"/>
                <w:color w:val="000000" w:themeColor="text1"/>
                <w:sz w:val="20"/>
                <w:szCs w:val="20"/>
              </w:rPr>
              <w:t xml:space="preserve"> July 2027</w:t>
            </w:r>
          </w:p>
        </w:tc>
        <w:tc>
          <w:tcPr>
            <w:tcW w:w="3893" w:type="dxa"/>
            <w:tcMar>
              <w:top w:w="15" w:type="dxa"/>
              <w:left w:w="69" w:type="dxa"/>
              <w:right w:w="69" w:type="dxa"/>
            </w:tcMar>
            <w:vAlign w:val="center"/>
          </w:tcPr>
          <w:p w14:paraId="2A95B818" w14:textId="1403D6C7" w:rsidR="00957814" w:rsidRPr="00AF2AFB" w:rsidRDefault="00957814" w:rsidP="006E210B">
            <w:pPr>
              <w:spacing w:after="0" w:line="276" w:lineRule="auto"/>
              <w:jc w:val="center"/>
              <w:rPr>
                <w:rFonts w:ascii="Calibri" w:eastAsia="Calibri" w:hAnsi="Calibri" w:cs="Calibri"/>
                <w:color w:val="000000" w:themeColor="text1"/>
                <w:sz w:val="20"/>
                <w:szCs w:val="20"/>
              </w:rPr>
            </w:pPr>
            <w:r>
              <w:rPr>
                <w:rFonts w:ascii="Calibri" w:eastAsia="Calibri" w:hAnsi="Calibri" w:cs="Calibri"/>
                <w:color w:val="000000" w:themeColor="text1"/>
                <w:sz w:val="20"/>
                <w:szCs w:val="20"/>
              </w:rPr>
              <w:t>1</w:t>
            </w:r>
            <w:r>
              <w:rPr>
                <w:rFonts w:ascii="Calibri" w:eastAsia="Calibri" w:hAnsi="Calibri" w:cs="Calibri"/>
                <w:color w:val="000000" w:themeColor="text1"/>
                <w:sz w:val="20"/>
                <w:szCs w:val="20"/>
                <w:vertAlign w:val="superscript"/>
              </w:rPr>
              <w:t>st</w:t>
            </w:r>
            <w:r>
              <w:rPr>
                <w:rFonts w:ascii="Calibri" w:eastAsia="Calibri" w:hAnsi="Calibri" w:cs="Calibri"/>
                <w:color w:val="000000" w:themeColor="text1"/>
                <w:sz w:val="20"/>
                <w:szCs w:val="20"/>
              </w:rPr>
              <w:t xml:space="preserve"> January 2027 – 30</w:t>
            </w:r>
            <w:r>
              <w:rPr>
                <w:rFonts w:ascii="Calibri" w:eastAsia="Calibri" w:hAnsi="Calibri" w:cs="Calibri"/>
                <w:color w:val="000000" w:themeColor="text1"/>
                <w:sz w:val="20"/>
                <w:szCs w:val="20"/>
                <w:vertAlign w:val="superscript"/>
              </w:rPr>
              <w:t>th</w:t>
            </w:r>
            <w:r>
              <w:rPr>
                <w:rFonts w:ascii="Calibri" w:eastAsia="Calibri" w:hAnsi="Calibri" w:cs="Calibri"/>
                <w:color w:val="000000" w:themeColor="text1"/>
                <w:sz w:val="20"/>
                <w:szCs w:val="20"/>
              </w:rPr>
              <w:t xml:space="preserve"> June 2027</w:t>
            </w:r>
          </w:p>
        </w:tc>
      </w:tr>
      <w:tr w:rsidR="00957814" w:rsidRPr="00AF2AFB" w14:paraId="4DE8662D" w14:textId="77777777" w:rsidTr="00957814">
        <w:trPr>
          <w:trHeight w:val="372"/>
        </w:trPr>
        <w:tc>
          <w:tcPr>
            <w:tcW w:w="2243" w:type="dxa"/>
            <w:vMerge/>
            <w:vAlign w:val="center"/>
          </w:tcPr>
          <w:p w14:paraId="2FDA642C" w14:textId="77777777" w:rsidR="00957814" w:rsidRPr="00AF2AFB" w:rsidRDefault="00957814" w:rsidP="006E210B">
            <w:pPr>
              <w:spacing w:after="0" w:line="276" w:lineRule="auto"/>
              <w:jc w:val="center"/>
            </w:pPr>
          </w:p>
        </w:tc>
        <w:tc>
          <w:tcPr>
            <w:tcW w:w="3118" w:type="dxa"/>
            <w:tcMar>
              <w:top w:w="15" w:type="dxa"/>
              <w:left w:w="69" w:type="dxa"/>
              <w:right w:w="69" w:type="dxa"/>
            </w:tcMar>
            <w:vAlign w:val="center"/>
          </w:tcPr>
          <w:p w14:paraId="308EF6EB" w14:textId="3D841F11" w:rsidR="00957814" w:rsidRPr="00AF2AFB" w:rsidRDefault="00957814" w:rsidP="006E210B">
            <w:pPr>
              <w:spacing w:after="0" w:line="276" w:lineRule="auto"/>
              <w:jc w:val="center"/>
              <w:rPr>
                <w:rFonts w:ascii="Calibri" w:eastAsia="Calibri" w:hAnsi="Calibri" w:cs="Calibri"/>
                <w:color w:val="000000" w:themeColor="text1"/>
                <w:sz w:val="20"/>
                <w:szCs w:val="20"/>
              </w:rPr>
            </w:pPr>
            <w:r>
              <w:rPr>
                <w:rFonts w:ascii="Calibri" w:eastAsia="Calibri" w:hAnsi="Calibri" w:cs="Calibri"/>
                <w:color w:val="000000" w:themeColor="text1"/>
                <w:sz w:val="20"/>
                <w:szCs w:val="20"/>
              </w:rPr>
              <w:t>1</w:t>
            </w:r>
            <w:r>
              <w:rPr>
                <w:rFonts w:ascii="Calibri" w:eastAsia="Calibri" w:hAnsi="Calibri" w:cs="Calibri"/>
                <w:color w:val="000000" w:themeColor="text1"/>
                <w:sz w:val="20"/>
                <w:szCs w:val="20"/>
                <w:vertAlign w:val="superscript"/>
              </w:rPr>
              <w:t>st</w:t>
            </w:r>
            <w:r>
              <w:rPr>
                <w:rFonts w:ascii="Calibri" w:eastAsia="Calibri" w:hAnsi="Calibri" w:cs="Calibri"/>
                <w:color w:val="000000" w:themeColor="text1"/>
                <w:sz w:val="20"/>
                <w:szCs w:val="20"/>
              </w:rPr>
              <w:t xml:space="preserve"> July 2027 – 14</w:t>
            </w:r>
            <w:r>
              <w:rPr>
                <w:rFonts w:ascii="Calibri" w:eastAsia="Calibri" w:hAnsi="Calibri" w:cs="Calibri"/>
                <w:color w:val="000000" w:themeColor="text1"/>
                <w:sz w:val="20"/>
                <w:szCs w:val="20"/>
                <w:vertAlign w:val="superscript"/>
              </w:rPr>
              <w:t>th</w:t>
            </w:r>
            <w:r>
              <w:rPr>
                <w:rFonts w:ascii="Calibri" w:eastAsia="Calibri" w:hAnsi="Calibri" w:cs="Calibri"/>
                <w:color w:val="000000" w:themeColor="text1"/>
                <w:sz w:val="20"/>
                <w:szCs w:val="20"/>
              </w:rPr>
              <w:t xml:space="preserve"> January 2028</w:t>
            </w:r>
          </w:p>
        </w:tc>
        <w:tc>
          <w:tcPr>
            <w:tcW w:w="3893" w:type="dxa"/>
            <w:tcMar>
              <w:top w:w="15" w:type="dxa"/>
              <w:left w:w="69" w:type="dxa"/>
              <w:right w:w="69" w:type="dxa"/>
            </w:tcMar>
            <w:vAlign w:val="center"/>
          </w:tcPr>
          <w:p w14:paraId="5542992A" w14:textId="2193094C" w:rsidR="00957814" w:rsidRPr="00AF2AFB" w:rsidRDefault="00957814" w:rsidP="006E210B">
            <w:pPr>
              <w:spacing w:after="0" w:line="276" w:lineRule="auto"/>
              <w:jc w:val="center"/>
              <w:rPr>
                <w:rFonts w:ascii="Calibri" w:eastAsia="Calibri" w:hAnsi="Calibri" w:cs="Calibri"/>
                <w:color w:val="000000" w:themeColor="text1"/>
                <w:sz w:val="20"/>
                <w:szCs w:val="20"/>
              </w:rPr>
            </w:pPr>
            <w:r>
              <w:rPr>
                <w:rFonts w:ascii="Calibri" w:eastAsia="Calibri" w:hAnsi="Calibri" w:cs="Calibri"/>
                <w:color w:val="000000" w:themeColor="text1"/>
                <w:sz w:val="20"/>
                <w:szCs w:val="20"/>
              </w:rPr>
              <w:t>1</w:t>
            </w:r>
            <w:r>
              <w:rPr>
                <w:rFonts w:ascii="Calibri" w:eastAsia="Calibri" w:hAnsi="Calibri" w:cs="Calibri"/>
                <w:color w:val="000000" w:themeColor="text1"/>
                <w:sz w:val="20"/>
                <w:szCs w:val="20"/>
                <w:vertAlign w:val="superscript"/>
              </w:rPr>
              <w:t>st</w:t>
            </w:r>
            <w:r>
              <w:rPr>
                <w:rFonts w:ascii="Calibri" w:eastAsia="Calibri" w:hAnsi="Calibri" w:cs="Calibri"/>
                <w:color w:val="000000" w:themeColor="text1"/>
                <w:sz w:val="20"/>
                <w:szCs w:val="20"/>
              </w:rPr>
              <w:t xml:space="preserve"> July 2027 – 31</w:t>
            </w:r>
            <w:r>
              <w:rPr>
                <w:rFonts w:ascii="Calibri" w:eastAsia="Calibri" w:hAnsi="Calibri" w:cs="Calibri"/>
                <w:color w:val="000000" w:themeColor="text1"/>
                <w:sz w:val="20"/>
                <w:szCs w:val="20"/>
                <w:vertAlign w:val="superscript"/>
              </w:rPr>
              <w:t>st</w:t>
            </w:r>
            <w:r>
              <w:rPr>
                <w:rFonts w:ascii="Calibri" w:eastAsia="Calibri" w:hAnsi="Calibri" w:cs="Calibri"/>
                <w:color w:val="000000" w:themeColor="text1"/>
                <w:sz w:val="20"/>
                <w:szCs w:val="20"/>
              </w:rPr>
              <w:t xml:space="preserve"> December 2027</w:t>
            </w:r>
          </w:p>
        </w:tc>
      </w:tr>
      <w:tr w:rsidR="00957814" w:rsidRPr="00AF2AFB" w14:paraId="31821315" w14:textId="77777777" w:rsidTr="00957814">
        <w:trPr>
          <w:trHeight w:val="372"/>
        </w:trPr>
        <w:tc>
          <w:tcPr>
            <w:tcW w:w="2243" w:type="dxa"/>
            <w:shd w:val="clear" w:color="auto" w:fill="28590F"/>
            <w:tcMar>
              <w:top w:w="15" w:type="dxa"/>
              <w:left w:w="69" w:type="dxa"/>
              <w:right w:w="69" w:type="dxa"/>
            </w:tcMar>
            <w:vAlign w:val="center"/>
          </w:tcPr>
          <w:p w14:paraId="7BF8CB3B" w14:textId="223B7D34" w:rsidR="00957814" w:rsidRPr="00AF2AFB" w:rsidRDefault="00957814" w:rsidP="006E210B">
            <w:pPr>
              <w:spacing w:after="0" w:line="276" w:lineRule="auto"/>
              <w:jc w:val="center"/>
              <w:rPr>
                <w:rFonts w:ascii="Calibri" w:eastAsia="Calibri" w:hAnsi="Calibri" w:cs="Calibri"/>
                <w:b/>
                <w:bCs/>
                <w:color w:val="F8FAF8"/>
                <w:sz w:val="20"/>
                <w:szCs w:val="20"/>
              </w:rPr>
            </w:pPr>
            <w:r>
              <w:rPr>
                <w:rFonts w:ascii="Calibri" w:eastAsia="Calibri" w:hAnsi="Calibri" w:cs="Calibri"/>
                <w:b/>
                <w:bCs/>
                <w:color w:val="F8FAF8"/>
                <w:sz w:val="20"/>
                <w:szCs w:val="20"/>
              </w:rPr>
              <w:t>Bereavement Survey</w:t>
            </w:r>
          </w:p>
        </w:tc>
        <w:tc>
          <w:tcPr>
            <w:tcW w:w="3118" w:type="dxa"/>
            <w:shd w:val="clear" w:color="auto" w:fill="DBE5DB"/>
            <w:tcMar>
              <w:top w:w="15" w:type="dxa"/>
              <w:left w:w="69" w:type="dxa"/>
              <w:right w:w="69" w:type="dxa"/>
            </w:tcMar>
            <w:vAlign w:val="center"/>
          </w:tcPr>
          <w:p w14:paraId="643E57BD" w14:textId="7D98982A" w:rsidR="00957814" w:rsidRDefault="00957814" w:rsidP="006E210B">
            <w:pPr>
              <w:spacing w:after="0" w:line="276" w:lineRule="auto"/>
              <w:jc w:val="center"/>
              <w:rPr>
                <w:rFonts w:ascii="Calibri" w:eastAsia="Calibri" w:hAnsi="Calibri" w:cs="Calibri"/>
                <w:color w:val="000000" w:themeColor="text1"/>
                <w:sz w:val="20"/>
                <w:szCs w:val="20"/>
              </w:rPr>
            </w:pPr>
            <w:r>
              <w:rPr>
                <w:rFonts w:ascii="Calibri" w:eastAsia="Calibri" w:hAnsi="Calibri" w:cs="Calibri"/>
                <w:color w:val="000000" w:themeColor="text1"/>
                <w:sz w:val="20"/>
                <w:szCs w:val="20"/>
              </w:rPr>
              <w:t>Continuous, following on from NACEL 2026</w:t>
            </w:r>
          </w:p>
          <w:p w14:paraId="090ED27A" w14:textId="6F991BAD" w:rsidR="00957814" w:rsidRPr="00AF2AFB" w:rsidRDefault="00957814" w:rsidP="006E210B">
            <w:pPr>
              <w:spacing w:after="0" w:line="276" w:lineRule="auto"/>
              <w:jc w:val="center"/>
              <w:rPr>
                <w:rFonts w:ascii="Calibri" w:eastAsia="Calibri" w:hAnsi="Calibri" w:cs="Calibri"/>
                <w:color w:val="000000" w:themeColor="text1"/>
                <w:sz w:val="20"/>
                <w:szCs w:val="20"/>
                <w:highlight w:val="yellow"/>
              </w:rPr>
            </w:pPr>
            <w:r>
              <w:rPr>
                <w:rFonts w:ascii="Calibri" w:eastAsia="Calibri" w:hAnsi="Calibri" w:cs="Calibri"/>
                <w:color w:val="000000" w:themeColor="text1"/>
                <w:sz w:val="20"/>
                <w:szCs w:val="20"/>
              </w:rPr>
              <w:t>(no break in data collection)</w:t>
            </w:r>
          </w:p>
        </w:tc>
        <w:tc>
          <w:tcPr>
            <w:tcW w:w="3893" w:type="dxa"/>
            <w:shd w:val="clear" w:color="auto" w:fill="DBE5DB"/>
            <w:tcMar>
              <w:top w:w="15" w:type="dxa"/>
              <w:left w:w="69" w:type="dxa"/>
              <w:right w:w="69" w:type="dxa"/>
            </w:tcMar>
            <w:vAlign w:val="center"/>
          </w:tcPr>
          <w:p w14:paraId="0B5E0E41" w14:textId="7F9CB8DF" w:rsidR="00957814" w:rsidRPr="00665D4B" w:rsidRDefault="00957814" w:rsidP="006E210B">
            <w:pPr>
              <w:spacing w:after="0" w:line="276" w:lineRule="auto"/>
              <w:jc w:val="center"/>
              <w:rPr>
                <w:rFonts w:ascii="Calibri" w:eastAsia="Calibri" w:hAnsi="Calibri" w:cs="Calibri"/>
                <w:color w:val="000000" w:themeColor="text1"/>
                <w:sz w:val="20"/>
                <w:szCs w:val="20"/>
              </w:rPr>
            </w:pPr>
            <w:r>
              <w:rPr>
                <w:rFonts w:ascii="Calibri" w:eastAsia="Calibri" w:hAnsi="Calibri" w:cs="Calibri"/>
                <w:color w:val="000000" w:themeColor="text1"/>
                <w:sz w:val="20"/>
                <w:szCs w:val="20"/>
              </w:rPr>
              <w:t>1</w:t>
            </w:r>
            <w:r>
              <w:rPr>
                <w:rFonts w:ascii="Calibri" w:eastAsia="Calibri" w:hAnsi="Calibri" w:cs="Calibri"/>
                <w:color w:val="000000" w:themeColor="text1"/>
                <w:sz w:val="20"/>
                <w:szCs w:val="20"/>
                <w:vertAlign w:val="superscript"/>
              </w:rPr>
              <w:t>st</w:t>
            </w:r>
            <w:r>
              <w:rPr>
                <w:rFonts w:ascii="Calibri" w:eastAsia="Calibri" w:hAnsi="Calibri" w:cs="Calibri"/>
                <w:color w:val="000000" w:themeColor="text1"/>
                <w:sz w:val="20"/>
                <w:szCs w:val="20"/>
              </w:rPr>
              <w:t xml:space="preserve"> January 2026 – 31</w:t>
            </w:r>
            <w:r>
              <w:rPr>
                <w:rFonts w:ascii="Calibri" w:eastAsia="Calibri" w:hAnsi="Calibri" w:cs="Calibri"/>
                <w:color w:val="000000" w:themeColor="text1"/>
                <w:sz w:val="20"/>
                <w:szCs w:val="20"/>
                <w:vertAlign w:val="superscript"/>
              </w:rPr>
              <w:t>st</w:t>
            </w:r>
            <w:r>
              <w:rPr>
                <w:rFonts w:ascii="Calibri" w:eastAsia="Calibri" w:hAnsi="Calibri" w:cs="Calibri"/>
                <w:color w:val="000000" w:themeColor="text1"/>
                <w:sz w:val="20"/>
                <w:szCs w:val="20"/>
              </w:rPr>
              <w:t xml:space="preserve"> December 2027 (reported in the year of death)</w:t>
            </w:r>
          </w:p>
        </w:tc>
      </w:tr>
      <w:tr w:rsidR="00957814" w:rsidRPr="00AF2AFB" w14:paraId="42F22C11" w14:textId="77777777" w:rsidTr="00957814">
        <w:trPr>
          <w:trHeight w:val="372"/>
        </w:trPr>
        <w:tc>
          <w:tcPr>
            <w:tcW w:w="2243" w:type="dxa"/>
            <w:shd w:val="clear" w:color="auto" w:fill="28590F"/>
            <w:tcMar>
              <w:top w:w="15" w:type="dxa"/>
              <w:left w:w="69" w:type="dxa"/>
              <w:right w:w="69" w:type="dxa"/>
            </w:tcMar>
            <w:vAlign w:val="center"/>
          </w:tcPr>
          <w:p w14:paraId="19ACC9C6" w14:textId="77777777" w:rsidR="00354753" w:rsidRDefault="00881F75">
            <w:pPr>
              <w:spacing w:after="0" w:line="276" w:lineRule="auto"/>
              <w:jc w:val="center"/>
              <w:rPr>
                <w:rFonts w:ascii="Calibri" w:eastAsia="Calibri" w:hAnsi="Calibri" w:cs="Calibri"/>
                <w:b/>
                <w:bCs/>
                <w:color w:val="F8FAF8"/>
                <w:sz w:val="20"/>
                <w:szCs w:val="20"/>
              </w:rPr>
            </w:pPr>
            <w:r>
              <w:rPr>
                <w:rFonts w:ascii="Calibri" w:eastAsia="Calibri" w:hAnsi="Calibri" w:cs="Calibri"/>
                <w:b/>
                <w:color w:val="F8FAF8"/>
                <w:sz w:val="20"/>
                <w:szCs w:val="20"/>
              </w:rPr>
              <w:t>Hospital/Site Overview</w:t>
            </w:r>
          </w:p>
        </w:tc>
        <w:tc>
          <w:tcPr>
            <w:tcW w:w="3118" w:type="dxa"/>
            <w:tcMar>
              <w:top w:w="15" w:type="dxa"/>
              <w:left w:w="69" w:type="dxa"/>
              <w:right w:w="69" w:type="dxa"/>
            </w:tcMar>
            <w:vAlign w:val="center"/>
          </w:tcPr>
          <w:p w14:paraId="751F6AA3" w14:textId="06639DD0" w:rsidR="00354753" w:rsidRPr="00C0789E" w:rsidRDefault="00C0789E">
            <w:pPr>
              <w:spacing w:after="0" w:line="276" w:lineRule="auto"/>
              <w:jc w:val="center"/>
              <w:rPr>
                <w:rFonts w:ascii="Calibri" w:eastAsia="Calibri" w:hAnsi="Calibri" w:cs="Calibri"/>
                <w:color w:val="000000" w:themeColor="text1"/>
                <w:sz w:val="20"/>
                <w:szCs w:val="20"/>
              </w:rPr>
            </w:pPr>
            <w:r>
              <w:rPr>
                <w:rStyle w:val="CommentReference"/>
                <w:rFonts w:ascii="Calibri" w:hAnsi="Calibri" w:cs="Calibri"/>
                <w:sz w:val="20"/>
                <w:szCs w:val="20"/>
              </w:rPr>
              <w:t>1</w:t>
            </w:r>
            <w:r>
              <w:rPr>
                <w:rStyle w:val="CommentReference"/>
                <w:rFonts w:ascii="Calibri" w:hAnsi="Calibri" w:cs="Calibri"/>
                <w:sz w:val="20"/>
                <w:szCs w:val="20"/>
                <w:vertAlign w:val="superscript"/>
              </w:rPr>
              <w:t>st</w:t>
            </w:r>
            <w:r>
              <w:rPr>
                <w:rStyle w:val="CommentReference"/>
                <w:rFonts w:ascii="Calibri" w:hAnsi="Calibri" w:cs="Calibri"/>
                <w:sz w:val="20"/>
                <w:szCs w:val="20"/>
              </w:rPr>
              <w:t xml:space="preserve"> July 2027 – 30</w:t>
            </w:r>
            <w:r>
              <w:rPr>
                <w:rStyle w:val="CommentReference"/>
                <w:rFonts w:ascii="Calibri" w:hAnsi="Calibri" w:cs="Calibri"/>
                <w:sz w:val="20"/>
                <w:szCs w:val="20"/>
                <w:vertAlign w:val="superscript"/>
              </w:rPr>
              <w:t>th</w:t>
            </w:r>
            <w:r>
              <w:rPr>
                <w:rStyle w:val="CommentReference"/>
                <w:rFonts w:ascii="Calibri" w:hAnsi="Calibri" w:cs="Calibri"/>
                <w:sz w:val="20"/>
                <w:szCs w:val="20"/>
              </w:rPr>
              <w:t xml:space="preserve"> September 2027</w:t>
            </w:r>
          </w:p>
        </w:tc>
        <w:tc>
          <w:tcPr>
            <w:tcW w:w="3893" w:type="dxa"/>
            <w:tcMar>
              <w:top w:w="15" w:type="dxa"/>
              <w:left w:w="69" w:type="dxa"/>
              <w:right w:w="69" w:type="dxa"/>
            </w:tcMar>
            <w:vAlign w:val="center"/>
          </w:tcPr>
          <w:p w14:paraId="514AF051" w14:textId="77777777" w:rsidR="00354753" w:rsidRDefault="00881F75">
            <w:pPr>
              <w:spacing w:after="0" w:line="276" w:lineRule="auto"/>
              <w:jc w:val="center"/>
              <w:rPr>
                <w:rFonts w:ascii="Calibri" w:eastAsia="Calibri" w:hAnsi="Calibri" w:cs="Calibri"/>
                <w:color w:val="000000" w:themeColor="text1"/>
                <w:sz w:val="20"/>
                <w:szCs w:val="20"/>
              </w:rPr>
            </w:pPr>
            <w:r>
              <w:rPr>
                <w:rFonts w:ascii="Calibri" w:eastAsia="Calibri" w:hAnsi="Calibri" w:cs="Calibri"/>
                <w:color w:val="000000" w:themeColor="text1"/>
                <w:sz w:val="20"/>
                <w:szCs w:val="20"/>
              </w:rPr>
              <w:t xml:space="preserve">Workforce </w:t>
            </w:r>
            <w:proofErr w:type="gramStart"/>
            <w:r>
              <w:rPr>
                <w:rFonts w:ascii="Calibri" w:eastAsia="Calibri" w:hAnsi="Calibri" w:cs="Calibri"/>
                <w:color w:val="000000" w:themeColor="text1"/>
                <w:sz w:val="20"/>
                <w:szCs w:val="20"/>
              </w:rPr>
              <w:t>at</w:t>
            </w:r>
            <w:proofErr w:type="gramEnd"/>
            <w:r>
              <w:rPr>
                <w:rFonts w:ascii="Calibri" w:eastAsia="Calibri" w:hAnsi="Calibri" w:cs="Calibri"/>
                <w:color w:val="000000" w:themeColor="text1"/>
                <w:sz w:val="20"/>
                <w:szCs w:val="20"/>
              </w:rPr>
              <w:t xml:space="preserve"> 31st March 2027; training between 1st April 2026 - 31st March 2027</w:t>
            </w:r>
          </w:p>
        </w:tc>
      </w:tr>
      <w:tr w:rsidR="00957814" w:rsidRPr="00AF2AFB" w14:paraId="7D409498" w14:textId="77777777" w:rsidTr="00957814">
        <w:trPr>
          <w:trHeight w:val="372"/>
        </w:trPr>
        <w:tc>
          <w:tcPr>
            <w:tcW w:w="2243" w:type="dxa"/>
            <w:shd w:val="clear" w:color="auto" w:fill="28590F"/>
            <w:tcMar>
              <w:top w:w="15" w:type="dxa"/>
              <w:left w:w="69" w:type="dxa"/>
              <w:right w:w="69" w:type="dxa"/>
            </w:tcMar>
            <w:vAlign w:val="center"/>
          </w:tcPr>
          <w:p w14:paraId="79F05A3A" w14:textId="45E4964A" w:rsidR="00957814" w:rsidRPr="00AF2AFB" w:rsidRDefault="00957814" w:rsidP="006E210B">
            <w:pPr>
              <w:spacing w:after="0" w:line="276" w:lineRule="auto"/>
              <w:jc w:val="center"/>
              <w:rPr>
                <w:rFonts w:ascii="Calibri" w:eastAsia="Calibri" w:hAnsi="Calibri" w:cs="Calibri"/>
                <w:b/>
                <w:bCs/>
                <w:color w:val="F8FAF8"/>
                <w:sz w:val="20"/>
                <w:szCs w:val="20"/>
              </w:rPr>
            </w:pPr>
            <w:r>
              <w:rPr>
                <w:rFonts w:ascii="Calibri" w:eastAsia="Calibri" w:hAnsi="Calibri" w:cs="Calibri"/>
                <w:b/>
                <w:bCs/>
                <w:color w:val="F8FAF8"/>
                <w:sz w:val="20"/>
                <w:szCs w:val="20"/>
              </w:rPr>
              <w:t>Annual death data collection</w:t>
            </w:r>
          </w:p>
        </w:tc>
        <w:tc>
          <w:tcPr>
            <w:tcW w:w="3118" w:type="dxa"/>
            <w:shd w:val="clear" w:color="auto" w:fill="DBE5DB"/>
            <w:tcMar>
              <w:top w:w="15" w:type="dxa"/>
              <w:left w:w="69" w:type="dxa"/>
              <w:right w:w="69" w:type="dxa"/>
            </w:tcMar>
            <w:vAlign w:val="center"/>
          </w:tcPr>
          <w:p w14:paraId="4F8CC7E4" w14:textId="477EE64F" w:rsidR="00957814" w:rsidRPr="00AF2AFB" w:rsidRDefault="00957814" w:rsidP="006E210B">
            <w:pPr>
              <w:spacing w:after="0" w:line="276" w:lineRule="auto"/>
              <w:jc w:val="center"/>
              <w:rPr>
                <w:rFonts w:ascii="Calibri" w:eastAsia="Calibri" w:hAnsi="Calibri" w:cs="Calibri"/>
                <w:color w:val="000000" w:themeColor="text1"/>
                <w:sz w:val="20"/>
                <w:szCs w:val="20"/>
              </w:rPr>
            </w:pPr>
            <w:r>
              <w:rPr>
                <w:rFonts w:ascii="Calibri" w:eastAsia="Calibri" w:hAnsi="Calibri" w:cs="Calibri"/>
                <w:color w:val="000000" w:themeColor="text1"/>
                <w:sz w:val="20"/>
                <w:szCs w:val="20"/>
              </w:rPr>
              <w:t>1</w:t>
            </w:r>
            <w:r>
              <w:rPr>
                <w:rFonts w:ascii="Calibri" w:eastAsia="Calibri" w:hAnsi="Calibri" w:cs="Calibri"/>
                <w:color w:val="000000" w:themeColor="text1"/>
                <w:sz w:val="20"/>
                <w:szCs w:val="20"/>
                <w:vertAlign w:val="superscript"/>
              </w:rPr>
              <w:t>st</w:t>
            </w:r>
            <w:r>
              <w:rPr>
                <w:rFonts w:ascii="Calibri" w:eastAsia="Calibri" w:hAnsi="Calibri" w:cs="Calibri"/>
                <w:color w:val="000000" w:themeColor="text1"/>
                <w:sz w:val="20"/>
                <w:szCs w:val="20"/>
              </w:rPr>
              <w:t xml:space="preserve"> January 2028 – 28</w:t>
            </w:r>
            <w:r>
              <w:rPr>
                <w:rFonts w:ascii="Calibri" w:eastAsia="Calibri" w:hAnsi="Calibri" w:cs="Calibri"/>
                <w:color w:val="000000" w:themeColor="text1"/>
                <w:sz w:val="20"/>
                <w:szCs w:val="20"/>
                <w:vertAlign w:val="superscript"/>
              </w:rPr>
              <w:t>th</w:t>
            </w:r>
            <w:r>
              <w:rPr>
                <w:rFonts w:ascii="Calibri" w:eastAsia="Calibri" w:hAnsi="Calibri" w:cs="Calibri"/>
                <w:color w:val="000000" w:themeColor="text1"/>
                <w:sz w:val="20"/>
                <w:szCs w:val="20"/>
              </w:rPr>
              <w:t xml:space="preserve"> </w:t>
            </w:r>
            <w:proofErr w:type="gramStart"/>
            <w:r>
              <w:rPr>
                <w:rFonts w:ascii="Calibri" w:eastAsia="Calibri" w:hAnsi="Calibri" w:cs="Calibri"/>
                <w:color w:val="000000" w:themeColor="text1"/>
                <w:sz w:val="20"/>
                <w:szCs w:val="20"/>
              </w:rPr>
              <w:t>February  2028</w:t>
            </w:r>
            <w:proofErr w:type="gramEnd"/>
          </w:p>
        </w:tc>
        <w:tc>
          <w:tcPr>
            <w:tcW w:w="3893" w:type="dxa"/>
            <w:shd w:val="clear" w:color="auto" w:fill="DBE5DB"/>
            <w:tcMar>
              <w:top w:w="15" w:type="dxa"/>
              <w:left w:w="69" w:type="dxa"/>
              <w:right w:w="69" w:type="dxa"/>
            </w:tcMar>
            <w:vAlign w:val="center"/>
          </w:tcPr>
          <w:p w14:paraId="6132678A" w14:textId="0B1886DB" w:rsidR="00957814" w:rsidRPr="00AF2AFB" w:rsidRDefault="00957814" w:rsidP="006E210B">
            <w:pPr>
              <w:spacing w:after="0" w:line="276" w:lineRule="auto"/>
              <w:jc w:val="center"/>
              <w:rPr>
                <w:rFonts w:ascii="Calibri" w:eastAsia="Calibri" w:hAnsi="Calibri" w:cs="Calibri"/>
                <w:color w:val="000000" w:themeColor="text1"/>
                <w:sz w:val="20"/>
                <w:szCs w:val="20"/>
              </w:rPr>
            </w:pPr>
            <w:r>
              <w:rPr>
                <w:rFonts w:ascii="Calibri" w:eastAsia="Calibri" w:hAnsi="Calibri" w:cs="Calibri"/>
                <w:color w:val="000000" w:themeColor="text1"/>
                <w:sz w:val="20"/>
                <w:szCs w:val="20"/>
              </w:rPr>
              <w:t>1</w:t>
            </w:r>
            <w:r>
              <w:rPr>
                <w:rFonts w:ascii="Calibri" w:eastAsia="Calibri" w:hAnsi="Calibri" w:cs="Calibri"/>
                <w:color w:val="000000" w:themeColor="text1"/>
                <w:sz w:val="20"/>
                <w:szCs w:val="20"/>
                <w:vertAlign w:val="superscript"/>
              </w:rPr>
              <w:t>st</w:t>
            </w:r>
            <w:r>
              <w:rPr>
                <w:rFonts w:ascii="Calibri" w:eastAsia="Calibri" w:hAnsi="Calibri" w:cs="Calibri"/>
                <w:color w:val="000000" w:themeColor="text1"/>
                <w:sz w:val="20"/>
                <w:szCs w:val="20"/>
              </w:rPr>
              <w:t xml:space="preserve"> January 2027 – 31</w:t>
            </w:r>
            <w:r>
              <w:rPr>
                <w:rFonts w:ascii="Calibri" w:eastAsia="Calibri" w:hAnsi="Calibri" w:cs="Calibri"/>
                <w:color w:val="000000" w:themeColor="text1"/>
                <w:sz w:val="20"/>
                <w:szCs w:val="20"/>
                <w:vertAlign w:val="superscript"/>
              </w:rPr>
              <w:t>st</w:t>
            </w:r>
            <w:r>
              <w:rPr>
                <w:rFonts w:ascii="Calibri" w:eastAsia="Calibri" w:hAnsi="Calibri" w:cs="Calibri"/>
                <w:color w:val="000000" w:themeColor="text1"/>
                <w:sz w:val="20"/>
                <w:szCs w:val="20"/>
              </w:rPr>
              <w:t xml:space="preserve"> December 2027</w:t>
            </w:r>
          </w:p>
        </w:tc>
      </w:tr>
    </w:tbl>
    <w:p w14:paraId="424068DC" w14:textId="77777777" w:rsidR="00085E96" w:rsidRDefault="00085E96" w:rsidP="006E210B">
      <w:pPr>
        <w:spacing w:line="276" w:lineRule="auto"/>
      </w:pPr>
    </w:p>
    <w:tbl>
      <w:tblPr>
        <w:tblW w:w="9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48"/>
        <w:gridCol w:w="6884"/>
      </w:tblGrid>
      <w:tr w:rsidR="00957814" w:rsidRPr="00AF2AFB" w14:paraId="35FC690D" w14:textId="77777777" w:rsidTr="00957814">
        <w:trPr>
          <w:trHeight w:val="127"/>
        </w:trPr>
        <w:tc>
          <w:tcPr>
            <w:tcW w:w="2248" w:type="dxa"/>
            <w:shd w:val="clear" w:color="auto" w:fill="28590F"/>
            <w:tcMar>
              <w:top w:w="15" w:type="dxa"/>
              <w:left w:w="108" w:type="dxa"/>
              <w:right w:w="108" w:type="dxa"/>
            </w:tcMar>
            <w:vAlign w:val="center"/>
          </w:tcPr>
          <w:p w14:paraId="5BB6FFF6" w14:textId="77777777" w:rsidR="00957814" w:rsidRPr="00AF2AFB" w:rsidRDefault="00957814" w:rsidP="006E210B">
            <w:pPr>
              <w:spacing w:after="0" w:line="276" w:lineRule="auto"/>
              <w:jc w:val="center"/>
              <w:rPr>
                <w:rFonts w:ascii="Calibri" w:eastAsia="Calibri" w:hAnsi="Calibri" w:cs="Calibri"/>
                <w:b/>
                <w:bCs/>
                <w:color w:val="F8FAF8"/>
                <w:sz w:val="20"/>
                <w:szCs w:val="20"/>
              </w:rPr>
            </w:pPr>
            <w:r>
              <w:rPr>
                <w:rFonts w:ascii="Calibri" w:eastAsia="Calibri" w:hAnsi="Calibri" w:cs="Calibri"/>
                <w:b/>
                <w:bCs/>
                <w:color w:val="F8FAF8"/>
                <w:sz w:val="20"/>
                <w:szCs w:val="20"/>
              </w:rPr>
              <w:t>Audit element</w:t>
            </w:r>
          </w:p>
        </w:tc>
        <w:tc>
          <w:tcPr>
            <w:tcW w:w="6884" w:type="dxa"/>
            <w:shd w:val="clear" w:color="auto" w:fill="28590F"/>
            <w:tcMar>
              <w:top w:w="15" w:type="dxa"/>
              <w:left w:w="108" w:type="dxa"/>
              <w:right w:w="108" w:type="dxa"/>
            </w:tcMar>
            <w:vAlign w:val="center"/>
          </w:tcPr>
          <w:p w14:paraId="3007CAD0" w14:textId="77777777" w:rsidR="00957814" w:rsidRPr="00AF2AFB" w:rsidRDefault="00957814" w:rsidP="006E210B">
            <w:pPr>
              <w:spacing w:after="0" w:line="276" w:lineRule="auto"/>
              <w:jc w:val="center"/>
              <w:rPr>
                <w:rFonts w:ascii="Calibri" w:eastAsia="Calibri" w:hAnsi="Calibri" w:cs="Calibri"/>
                <w:b/>
                <w:bCs/>
                <w:color w:val="FFFFFF" w:themeColor="background1"/>
                <w:sz w:val="20"/>
                <w:szCs w:val="20"/>
              </w:rPr>
            </w:pPr>
            <w:r>
              <w:rPr>
                <w:rFonts w:ascii="Calibri" w:eastAsia="Calibri" w:hAnsi="Calibri" w:cs="Calibri"/>
                <w:b/>
                <w:bCs/>
                <w:color w:val="FFFFFF" w:themeColor="background1"/>
                <w:sz w:val="20"/>
                <w:szCs w:val="20"/>
              </w:rPr>
              <w:t>Reporting timescales within the DIT</w:t>
            </w:r>
          </w:p>
        </w:tc>
      </w:tr>
      <w:tr w:rsidR="00957814" w:rsidRPr="00AF2AFB" w14:paraId="5BC31360" w14:textId="77777777" w:rsidTr="00957814">
        <w:trPr>
          <w:trHeight w:val="283"/>
        </w:trPr>
        <w:tc>
          <w:tcPr>
            <w:tcW w:w="2248" w:type="dxa"/>
            <w:vMerge w:val="restart"/>
            <w:shd w:val="clear" w:color="auto" w:fill="28590F"/>
            <w:tcMar>
              <w:top w:w="15" w:type="dxa"/>
              <w:left w:w="69" w:type="dxa"/>
              <w:right w:w="69" w:type="dxa"/>
            </w:tcMar>
            <w:vAlign w:val="center"/>
          </w:tcPr>
          <w:p w14:paraId="2F56E93F" w14:textId="77777777" w:rsidR="00957814" w:rsidRPr="00AF2AFB" w:rsidRDefault="00957814" w:rsidP="006E210B">
            <w:pPr>
              <w:spacing w:after="0" w:line="276" w:lineRule="auto"/>
              <w:jc w:val="center"/>
              <w:rPr>
                <w:rFonts w:ascii="Calibri" w:eastAsia="Calibri" w:hAnsi="Calibri" w:cs="Calibri"/>
                <w:b/>
                <w:bCs/>
                <w:color w:val="F8FAF8"/>
                <w:sz w:val="20"/>
                <w:szCs w:val="20"/>
              </w:rPr>
            </w:pPr>
            <w:r>
              <w:rPr>
                <w:rFonts w:ascii="Calibri" w:eastAsia="Calibri" w:hAnsi="Calibri" w:cs="Calibri"/>
                <w:b/>
                <w:bCs/>
                <w:color w:val="F8FAF8"/>
                <w:sz w:val="20"/>
                <w:szCs w:val="20"/>
              </w:rPr>
              <w:t>Case Note Review</w:t>
            </w:r>
          </w:p>
        </w:tc>
        <w:tc>
          <w:tcPr>
            <w:tcW w:w="6884" w:type="dxa"/>
            <w:vMerge w:val="restart"/>
            <w:tcMar>
              <w:top w:w="15" w:type="dxa"/>
              <w:left w:w="69" w:type="dxa"/>
              <w:right w:w="69" w:type="dxa"/>
            </w:tcMar>
            <w:vAlign w:val="center"/>
          </w:tcPr>
          <w:p w14:paraId="1B31ACE8" w14:textId="77777777" w:rsidR="00957814" w:rsidRPr="00AF2AFB" w:rsidRDefault="00957814" w:rsidP="006E210B">
            <w:pPr>
              <w:spacing w:after="0" w:line="276" w:lineRule="auto"/>
              <w:jc w:val="center"/>
              <w:rPr>
                <w:rFonts w:ascii="Calibri" w:eastAsia="Calibri" w:hAnsi="Calibri" w:cs="Calibri"/>
                <w:color w:val="000000" w:themeColor="text1"/>
                <w:sz w:val="20"/>
                <w:szCs w:val="20"/>
              </w:rPr>
            </w:pPr>
            <w:r>
              <w:rPr>
                <w:rFonts w:ascii="Calibri" w:eastAsia="Calibri" w:hAnsi="Calibri" w:cs="Calibri"/>
                <w:color w:val="000000" w:themeColor="text1"/>
                <w:sz w:val="20"/>
                <w:szCs w:val="20"/>
              </w:rPr>
              <w:t>1</w:t>
            </w:r>
            <w:r>
              <w:rPr>
                <w:rFonts w:ascii="Calibri" w:eastAsia="Calibri" w:hAnsi="Calibri" w:cs="Calibri"/>
                <w:color w:val="000000" w:themeColor="text1"/>
                <w:sz w:val="20"/>
                <w:szCs w:val="20"/>
                <w:vertAlign w:val="superscript"/>
              </w:rPr>
              <w:t>st</w:t>
            </w:r>
            <w:r>
              <w:rPr>
                <w:rFonts w:ascii="Calibri" w:eastAsia="Calibri" w:hAnsi="Calibri" w:cs="Calibri"/>
                <w:color w:val="000000" w:themeColor="text1"/>
                <w:sz w:val="20"/>
                <w:szCs w:val="20"/>
              </w:rPr>
              <w:t xml:space="preserve"> April 2027 (live fed into tool after this date)</w:t>
            </w:r>
          </w:p>
        </w:tc>
      </w:tr>
      <w:tr w:rsidR="00957814" w:rsidRPr="00AF2AFB" w14:paraId="44486220" w14:textId="77777777" w:rsidTr="00957814">
        <w:trPr>
          <w:trHeight w:val="309"/>
        </w:trPr>
        <w:tc>
          <w:tcPr>
            <w:tcW w:w="2248" w:type="dxa"/>
            <w:vMerge/>
            <w:vAlign w:val="center"/>
          </w:tcPr>
          <w:p w14:paraId="65CB3492" w14:textId="77777777" w:rsidR="00957814" w:rsidRPr="00AF2AFB" w:rsidRDefault="00957814" w:rsidP="006E210B">
            <w:pPr>
              <w:spacing w:after="0" w:line="276" w:lineRule="auto"/>
              <w:jc w:val="center"/>
            </w:pPr>
          </w:p>
        </w:tc>
        <w:tc>
          <w:tcPr>
            <w:tcW w:w="6884" w:type="dxa"/>
            <w:vMerge/>
            <w:vAlign w:val="center"/>
          </w:tcPr>
          <w:p w14:paraId="70F363CB" w14:textId="77777777" w:rsidR="00957814" w:rsidRPr="00AF2AFB" w:rsidRDefault="00957814" w:rsidP="006E210B">
            <w:pPr>
              <w:spacing w:after="0" w:line="276" w:lineRule="auto"/>
              <w:jc w:val="center"/>
            </w:pPr>
          </w:p>
        </w:tc>
      </w:tr>
      <w:tr w:rsidR="00957814" w:rsidRPr="00AF2AFB" w14:paraId="69A4E046" w14:textId="77777777" w:rsidTr="00957814">
        <w:trPr>
          <w:trHeight w:val="283"/>
        </w:trPr>
        <w:tc>
          <w:tcPr>
            <w:tcW w:w="2248" w:type="dxa"/>
            <w:shd w:val="clear" w:color="auto" w:fill="28590F"/>
            <w:tcMar>
              <w:top w:w="15" w:type="dxa"/>
              <w:left w:w="69" w:type="dxa"/>
              <w:right w:w="69" w:type="dxa"/>
            </w:tcMar>
            <w:vAlign w:val="center"/>
          </w:tcPr>
          <w:p w14:paraId="27E93760" w14:textId="77777777" w:rsidR="00957814" w:rsidRPr="00C0789E" w:rsidRDefault="00957814" w:rsidP="006E210B">
            <w:pPr>
              <w:spacing w:after="0" w:line="276" w:lineRule="auto"/>
              <w:jc w:val="center"/>
              <w:rPr>
                <w:rFonts w:eastAsia="Calibri" w:cstheme="minorHAnsi"/>
                <w:b/>
                <w:bCs/>
                <w:color w:val="FFFFFF" w:themeColor="background1"/>
                <w:sz w:val="20"/>
                <w:szCs w:val="20"/>
              </w:rPr>
            </w:pPr>
            <w:r>
              <w:rPr>
                <w:rFonts w:eastAsia="Calibri" w:cstheme="minorHAnsi"/>
                <w:b/>
                <w:bCs/>
                <w:color w:val="FFFFFF" w:themeColor="background1"/>
                <w:sz w:val="20"/>
                <w:szCs w:val="20"/>
              </w:rPr>
              <w:t>Bereavement Survey</w:t>
            </w:r>
          </w:p>
        </w:tc>
        <w:tc>
          <w:tcPr>
            <w:tcW w:w="6884" w:type="dxa"/>
            <w:shd w:val="clear" w:color="auto" w:fill="DBE5DB"/>
            <w:tcMar>
              <w:top w:w="15" w:type="dxa"/>
              <w:left w:w="69" w:type="dxa"/>
              <w:right w:w="69" w:type="dxa"/>
            </w:tcMar>
            <w:vAlign w:val="center"/>
          </w:tcPr>
          <w:p w14:paraId="14CF2400" w14:textId="77777777" w:rsidR="00957814" w:rsidRPr="00AF2AFB" w:rsidRDefault="00957814" w:rsidP="006E210B">
            <w:pPr>
              <w:spacing w:after="0" w:line="276" w:lineRule="auto"/>
              <w:jc w:val="center"/>
              <w:rPr>
                <w:rFonts w:ascii="Calibri" w:eastAsia="Calibri" w:hAnsi="Calibri" w:cs="Calibri"/>
                <w:color w:val="000000" w:themeColor="text1"/>
                <w:sz w:val="20"/>
                <w:szCs w:val="20"/>
              </w:rPr>
            </w:pPr>
            <w:r>
              <w:rPr>
                <w:rFonts w:ascii="Calibri" w:eastAsia="Calibri" w:hAnsi="Calibri" w:cs="Calibri"/>
                <w:color w:val="000000" w:themeColor="text1"/>
                <w:sz w:val="20"/>
                <w:szCs w:val="20"/>
              </w:rPr>
              <w:t>1</w:t>
            </w:r>
            <w:r>
              <w:rPr>
                <w:rFonts w:ascii="Calibri" w:eastAsia="Calibri" w:hAnsi="Calibri" w:cs="Calibri"/>
                <w:color w:val="000000" w:themeColor="text1"/>
                <w:sz w:val="20"/>
                <w:szCs w:val="20"/>
                <w:vertAlign w:val="superscript"/>
              </w:rPr>
              <w:t>st</w:t>
            </w:r>
            <w:r>
              <w:rPr>
                <w:rFonts w:ascii="Calibri" w:eastAsia="Calibri" w:hAnsi="Calibri" w:cs="Calibri"/>
                <w:color w:val="000000" w:themeColor="text1"/>
                <w:sz w:val="20"/>
                <w:szCs w:val="20"/>
              </w:rPr>
              <w:t xml:space="preserve"> April 2027 (live fed into tool after this date)</w:t>
            </w:r>
          </w:p>
        </w:tc>
      </w:tr>
      <w:tr w:rsidR="00957814" w:rsidRPr="00AF2AFB" w14:paraId="32A19E75" w14:textId="77777777" w:rsidTr="00957814">
        <w:trPr>
          <w:trHeight w:val="283"/>
        </w:trPr>
        <w:tc>
          <w:tcPr>
            <w:tcW w:w="2248" w:type="dxa"/>
            <w:shd w:val="clear" w:color="auto" w:fill="28590F"/>
            <w:tcMar>
              <w:top w:w="15" w:type="dxa"/>
              <w:left w:w="69" w:type="dxa"/>
              <w:right w:w="69" w:type="dxa"/>
            </w:tcMar>
            <w:vAlign w:val="center"/>
          </w:tcPr>
          <w:p w14:paraId="66BAAD03" w14:textId="77777777" w:rsidR="00354753" w:rsidRPr="00C0789E" w:rsidRDefault="00881F75">
            <w:pPr>
              <w:spacing w:after="0" w:line="276" w:lineRule="auto"/>
              <w:jc w:val="center"/>
              <w:rPr>
                <w:rFonts w:eastAsia="Calibri" w:cstheme="minorHAnsi"/>
                <w:b/>
                <w:bCs/>
                <w:color w:val="FFFFFF" w:themeColor="background1"/>
                <w:sz w:val="20"/>
                <w:szCs w:val="20"/>
              </w:rPr>
            </w:pPr>
            <w:r>
              <w:rPr>
                <w:rStyle w:val="CommentReference"/>
                <w:rFonts w:cstheme="minorHAnsi"/>
                <w:b/>
                <w:color w:val="FFFFFF" w:themeColor="background1"/>
                <w:sz w:val="20"/>
                <w:szCs w:val="20"/>
              </w:rPr>
              <w:t>Hospital/Site Overview</w:t>
            </w:r>
          </w:p>
        </w:tc>
        <w:tc>
          <w:tcPr>
            <w:tcW w:w="6884" w:type="dxa"/>
            <w:tcMar>
              <w:top w:w="15" w:type="dxa"/>
              <w:left w:w="69" w:type="dxa"/>
              <w:right w:w="69" w:type="dxa"/>
            </w:tcMar>
            <w:vAlign w:val="center"/>
          </w:tcPr>
          <w:p w14:paraId="78B4294E" w14:textId="5062EA21" w:rsidR="00354753" w:rsidRDefault="00C0789E">
            <w:pPr>
              <w:spacing w:after="0" w:line="276" w:lineRule="auto"/>
              <w:jc w:val="center"/>
              <w:rPr>
                <w:rFonts w:ascii="Calibri" w:eastAsia="Calibri" w:hAnsi="Calibri" w:cs="Calibri"/>
                <w:color w:val="000000" w:themeColor="text1"/>
                <w:sz w:val="20"/>
                <w:szCs w:val="20"/>
              </w:rPr>
            </w:pPr>
            <w:r>
              <w:rPr>
                <w:sz w:val="20"/>
                <w:szCs w:val="20"/>
              </w:rPr>
              <w:t>October 2027</w:t>
            </w:r>
          </w:p>
        </w:tc>
      </w:tr>
      <w:tr w:rsidR="00957814" w:rsidRPr="00AF2AFB" w14:paraId="7065FEE8" w14:textId="77777777" w:rsidTr="00957814">
        <w:trPr>
          <w:trHeight w:val="283"/>
        </w:trPr>
        <w:tc>
          <w:tcPr>
            <w:tcW w:w="2248" w:type="dxa"/>
            <w:shd w:val="clear" w:color="auto" w:fill="28590F"/>
            <w:tcMar>
              <w:top w:w="15" w:type="dxa"/>
              <w:left w:w="69" w:type="dxa"/>
              <w:right w:w="69" w:type="dxa"/>
            </w:tcMar>
            <w:vAlign w:val="center"/>
          </w:tcPr>
          <w:p w14:paraId="5D341649" w14:textId="77777777" w:rsidR="00957814" w:rsidRPr="00AF2AFB" w:rsidRDefault="00957814" w:rsidP="006E210B">
            <w:pPr>
              <w:spacing w:after="0" w:line="276" w:lineRule="auto"/>
              <w:jc w:val="center"/>
              <w:rPr>
                <w:rFonts w:ascii="Calibri" w:eastAsia="Calibri" w:hAnsi="Calibri" w:cs="Calibri"/>
                <w:b/>
                <w:bCs/>
                <w:color w:val="F8FAF8"/>
                <w:sz w:val="20"/>
                <w:szCs w:val="20"/>
              </w:rPr>
            </w:pPr>
            <w:r>
              <w:rPr>
                <w:rFonts w:ascii="Calibri" w:eastAsia="Calibri" w:hAnsi="Calibri" w:cs="Calibri"/>
                <w:b/>
                <w:bCs/>
                <w:color w:val="F8FAF8"/>
                <w:sz w:val="20"/>
                <w:szCs w:val="20"/>
              </w:rPr>
              <w:lastRenderedPageBreak/>
              <w:t>Annual death data collection</w:t>
            </w:r>
          </w:p>
        </w:tc>
        <w:tc>
          <w:tcPr>
            <w:tcW w:w="6884" w:type="dxa"/>
            <w:shd w:val="clear" w:color="auto" w:fill="DBE5DB"/>
            <w:tcMar>
              <w:top w:w="15" w:type="dxa"/>
              <w:left w:w="69" w:type="dxa"/>
              <w:right w:w="69" w:type="dxa"/>
            </w:tcMar>
            <w:vAlign w:val="center"/>
          </w:tcPr>
          <w:p w14:paraId="4EF38C9B" w14:textId="277B311C" w:rsidR="00957814" w:rsidRPr="00AF2AFB" w:rsidRDefault="00957814" w:rsidP="006E210B">
            <w:pPr>
              <w:spacing w:after="0" w:line="276" w:lineRule="auto"/>
              <w:jc w:val="center"/>
              <w:rPr>
                <w:rFonts w:ascii="Calibri" w:eastAsia="Calibri" w:hAnsi="Calibri" w:cs="Calibri"/>
                <w:color w:val="000000" w:themeColor="text1"/>
                <w:sz w:val="20"/>
                <w:szCs w:val="20"/>
              </w:rPr>
            </w:pPr>
            <w:r>
              <w:rPr>
                <w:rFonts w:ascii="Calibri" w:eastAsia="Calibri" w:hAnsi="Calibri" w:cs="Calibri"/>
                <w:color w:val="000000" w:themeColor="text1"/>
                <w:sz w:val="20"/>
                <w:szCs w:val="20"/>
              </w:rPr>
              <w:t>March 2028</w:t>
            </w:r>
          </w:p>
        </w:tc>
      </w:tr>
    </w:tbl>
    <w:p w14:paraId="18DFC5E1" w14:textId="77777777" w:rsidR="00957814" w:rsidRPr="00AF2AFB" w:rsidRDefault="00957814" w:rsidP="006E210B">
      <w:pPr>
        <w:spacing w:line="276" w:lineRule="auto"/>
      </w:pPr>
    </w:p>
    <w:p w14:paraId="5DC384C7" w14:textId="12CE027C" w:rsidR="00BA51E3" w:rsidRPr="00AF2AFB" w:rsidRDefault="00482018" w:rsidP="006E210B">
      <w:pPr>
        <w:pStyle w:val="Heading1"/>
        <w:spacing w:line="276" w:lineRule="auto"/>
        <w:rPr>
          <w:rFonts w:asciiTheme="minorHAnsi" w:hAnsiTheme="minorHAnsi" w:cstheme="minorHAnsi"/>
          <w:b/>
          <w:bCs/>
          <w:color w:val="385623" w:themeColor="accent6" w:themeShade="80"/>
          <w:sz w:val="24"/>
          <w:szCs w:val="24"/>
        </w:rPr>
      </w:pPr>
      <w:bookmarkStart w:id="10" w:name="_Registration"/>
      <w:bookmarkStart w:id="11" w:name="_Toc212207534"/>
      <w:bookmarkEnd w:id="10"/>
      <w:r>
        <w:rPr>
          <w:rFonts w:asciiTheme="minorHAnsi" w:hAnsiTheme="minorHAnsi" w:cstheme="minorHAnsi"/>
          <w:b/>
          <w:bCs/>
          <w:color w:val="385623" w:themeColor="accent6" w:themeShade="80"/>
          <w:sz w:val="24"/>
          <w:szCs w:val="24"/>
        </w:rPr>
        <w:t>4. Registration</w:t>
      </w:r>
      <w:bookmarkEnd w:id="11"/>
      <w:r>
        <w:rPr>
          <w:rFonts w:asciiTheme="minorHAnsi" w:hAnsiTheme="minorHAnsi" w:cstheme="minorHAnsi"/>
          <w:b/>
          <w:bCs/>
          <w:color w:val="385623" w:themeColor="accent6" w:themeShade="80"/>
          <w:sz w:val="24"/>
          <w:szCs w:val="24"/>
        </w:rPr>
        <w:t xml:space="preserve"> </w:t>
      </w:r>
    </w:p>
    <w:p w14:paraId="627E78C8" w14:textId="3882C561" w:rsidR="00940AFD" w:rsidRDefault="00635653" w:rsidP="006E210B">
      <w:pPr>
        <w:spacing w:line="276" w:lineRule="auto"/>
        <w:rPr>
          <w:rFonts w:cstheme="minorHAnsi"/>
        </w:rPr>
      </w:pPr>
      <w:bookmarkStart w:id="12" w:name="_Hlk59441643"/>
      <w:r>
        <w:rPr>
          <w:rFonts w:cstheme="minorHAnsi"/>
        </w:rPr>
        <w:t xml:space="preserve">Registration for NACEL 2027 determines who will be involved in the audit from the participating organisation, as well as what data will be collected, submitted and reported on. </w:t>
      </w:r>
      <w:bookmarkStart w:id="13" w:name="_Hlk183773593"/>
      <w:r>
        <w:rPr>
          <w:rFonts w:cstheme="minorHAnsi"/>
        </w:rPr>
        <w:t xml:space="preserve">The registration process will differ based on whether your organisation has previously participated in </w:t>
      </w:r>
      <w:proofErr w:type="gramStart"/>
      <w:r>
        <w:rPr>
          <w:rFonts w:cstheme="minorHAnsi"/>
        </w:rPr>
        <w:t>NACEL, or</w:t>
      </w:r>
      <w:proofErr w:type="gramEnd"/>
      <w:r>
        <w:rPr>
          <w:rFonts w:cstheme="minorHAnsi"/>
        </w:rPr>
        <w:t xml:space="preserve"> is new to the audit. </w:t>
      </w:r>
    </w:p>
    <w:p w14:paraId="208E71A9" w14:textId="77777777" w:rsidR="00CB7230" w:rsidRDefault="00940AFD" w:rsidP="006E210B">
      <w:pPr>
        <w:spacing w:line="276" w:lineRule="auto"/>
        <w:rPr>
          <w:rFonts w:cstheme="minorHAnsi"/>
        </w:rPr>
      </w:pPr>
      <w:r>
        <w:rPr>
          <w:rFonts w:cstheme="minorHAnsi"/>
        </w:rPr>
        <w:t>If your organisation previously took part in NACEL 2026, your organisation’s NACEL 2026 registration details will be carried forward to 2027 automatically and there is no need to re-register. This is to ensure the submissions data can be compared year-on-year.</w:t>
      </w:r>
    </w:p>
    <w:p w14:paraId="29845161" w14:textId="16D7126F" w:rsidR="00CB7230" w:rsidRDefault="00320125" w:rsidP="006E210B">
      <w:pPr>
        <w:spacing w:line="276" w:lineRule="auto"/>
        <w:rPr>
          <w:rFonts w:cstheme="minorHAnsi"/>
        </w:rPr>
      </w:pPr>
      <w:r>
        <w:rPr>
          <w:rFonts w:cstheme="minorHAnsi"/>
          <w:b/>
          <w:bCs/>
        </w:rPr>
        <w:t xml:space="preserve">Project Leads are encouraged to check the NACEL 2026 registration details before the </w:t>
      </w:r>
      <w:proofErr w:type="gramStart"/>
      <w:r>
        <w:rPr>
          <w:rFonts w:cstheme="minorHAnsi"/>
          <w:b/>
          <w:bCs/>
        </w:rPr>
        <w:t>13</w:t>
      </w:r>
      <w:r>
        <w:rPr>
          <w:rFonts w:cstheme="minorHAnsi"/>
          <w:b/>
          <w:bCs/>
          <w:vertAlign w:val="superscript"/>
        </w:rPr>
        <w:t>th</w:t>
      </w:r>
      <w:proofErr w:type="gramEnd"/>
      <w:r>
        <w:rPr>
          <w:rFonts w:cstheme="minorHAnsi"/>
          <w:b/>
          <w:bCs/>
        </w:rPr>
        <w:t xml:space="preserve"> November 2026.</w:t>
      </w:r>
      <w:r>
        <w:rPr>
          <w:rFonts w:cstheme="minorHAnsi"/>
        </w:rPr>
        <w:t xml:space="preserve"> </w:t>
      </w:r>
    </w:p>
    <w:p w14:paraId="2141DDE4" w14:textId="13AB3105" w:rsidR="005D102B" w:rsidRDefault="007720D1" w:rsidP="006E210B">
      <w:pPr>
        <w:spacing w:line="276" w:lineRule="auto"/>
        <w:rPr>
          <w:rFonts w:cstheme="minorHAnsi"/>
        </w:rPr>
      </w:pPr>
      <w:r>
        <w:t xml:space="preserve">The registration details can be found by logging into the </w:t>
      </w:r>
      <w:hyperlink r:id="rId17" w:history="1">
        <w:r>
          <w:rPr>
            <w:rStyle w:val="Hyperlink"/>
            <w:bCs/>
          </w:rPr>
          <w:t xml:space="preserve">NHSBN </w:t>
        </w:r>
        <w:r>
          <w:rPr>
            <w:rStyle w:val="Hyperlink"/>
            <w:rFonts w:cstheme="minorHAnsi"/>
          </w:rPr>
          <w:t>Members’ Area</w:t>
        </w:r>
      </w:hyperlink>
      <w:r>
        <w:rPr>
          <w:rStyle w:val="Hyperlink"/>
          <w:rFonts w:cstheme="minorHAnsi"/>
        </w:rPr>
        <w:t xml:space="preserve">, </w:t>
      </w:r>
      <w:r>
        <w:rPr>
          <w:rStyle w:val="Hyperlink"/>
          <w:rFonts w:cstheme="minorHAnsi"/>
          <w:color w:val="auto"/>
          <w:u w:val="none"/>
        </w:rPr>
        <w:t>and selecting the text next to the NACEL project name: “</w:t>
      </w:r>
      <w:r>
        <w:rPr>
          <w:rFonts w:cstheme="minorHAnsi"/>
        </w:rPr>
        <w:t>Registered for 2026/27”.</w:t>
      </w:r>
    </w:p>
    <w:p w14:paraId="1061772B" w14:textId="636BC3D8" w:rsidR="00162192" w:rsidRPr="003D73C7" w:rsidRDefault="00452F0E" w:rsidP="006E210B">
      <w:pPr>
        <w:spacing w:line="276" w:lineRule="auto"/>
        <w:rPr>
          <w:rFonts w:cstheme="minorHAnsi"/>
        </w:rPr>
      </w:pPr>
      <w:r>
        <w:rPr>
          <w:rFonts w:cstheme="minorHAnsi"/>
        </w:rPr>
        <w:t xml:space="preserve">If any updates to these registration details are required for NACEL 2027, please contact the NACEL Support Team at </w:t>
      </w:r>
      <w:hyperlink r:id="rId18" w:history="1">
        <w:r>
          <w:rPr>
            <w:rStyle w:val="Hyperlink"/>
            <w:rFonts w:cstheme="minorHAnsi"/>
          </w:rPr>
          <w:t>nhsbn.nacelsupport@nhs.net</w:t>
        </w:r>
      </w:hyperlink>
      <w:r>
        <w:rPr>
          <w:rFonts w:cstheme="minorHAnsi"/>
        </w:rPr>
        <w:t xml:space="preserve">. </w:t>
      </w:r>
    </w:p>
    <w:p w14:paraId="64FED2FE" w14:textId="2A950BBC" w:rsidR="00674988" w:rsidRPr="005D102B" w:rsidRDefault="00674988" w:rsidP="006E210B">
      <w:pPr>
        <w:spacing w:line="276" w:lineRule="auto"/>
        <w:rPr>
          <w:rFonts w:cstheme="minorHAnsi"/>
        </w:rPr>
      </w:pPr>
      <w:hyperlink r:id="rId19" w:history="1"/>
      <w:r w:rsidR="00940AFD">
        <w:rPr>
          <w:rFonts w:cstheme="minorHAnsi"/>
        </w:rPr>
        <w:t>If your organisation did not participate in NACEL 2026, please email the NACEL Support Team at nhsbn.nacelsupport@nhs.net to register for NACEL 2027.</w:t>
      </w:r>
    </w:p>
    <w:p w14:paraId="7BF51199" w14:textId="77777777" w:rsidR="00264F6C" w:rsidRPr="00482018" w:rsidRDefault="00264F6C" w:rsidP="006E210B">
      <w:pPr>
        <w:spacing w:line="276" w:lineRule="auto"/>
        <w:rPr>
          <w:b/>
          <w:bCs/>
          <w:sz w:val="24"/>
          <w:szCs w:val="24"/>
        </w:rPr>
      </w:pPr>
      <w:bookmarkStart w:id="14" w:name="_How_to_register"/>
      <w:bookmarkEnd w:id="13"/>
      <w:bookmarkEnd w:id="14"/>
      <w:r>
        <w:rPr>
          <w:b/>
          <w:bCs/>
          <w:sz w:val="24"/>
          <w:szCs w:val="24"/>
        </w:rPr>
        <w:t>Key Roles</w:t>
      </w:r>
    </w:p>
    <w:p w14:paraId="2F2CA252" w14:textId="0E5D52CC" w:rsidR="00C6220D" w:rsidRPr="00AF2AFB" w:rsidRDefault="003270BE" w:rsidP="006E210B">
      <w:pPr>
        <w:spacing w:line="276" w:lineRule="auto"/>
        <w:rPr>
          <w:rFonts w:cstheme="minorHAnsi"/>
        </w:rPr>
      </w:pPr>
      <w:r>
        <w:rPr>
          <w:rFonts w:cstheme="minorHAnsi"/>
        </w:rPr>
        <w:t xml:space="preserve">Those involved in the audit can be assigned the following roles: </w:t>
      </w:r>
    </w:p>
    <w:p w14:paraId="0C1727AA" w14:textId="2A60FE29" w:rsidR="00B07F8A" w:rsidRPr="00C0789E" w:rsidRDefault="00B07F8A" w:rsidP="00C0789E">
      <w:pPr>
        <w:pStyle w:val="Style1"/>
        <w:numPr>
          <w:ilvl w:val="0"/>
          <w:numId w:val="0"/>
        </w:numPr>
      </w:pPr>
      <w:bookmarkStart w:id="15" w:name="_Hlk59441709"/>
      <w:bookmarkEnd w:id="12"/>
      <w:r>
        <w:t>Project Lead – Main contact; oversees audit participation and quality assurance.</w:t>
      </w:r>
      <w:r>
        <w:br/>
        <w:t>Deputy Project Lead – Supports coordination; same data access as the Lead.</w:t>
      </w:r>
      <w:r>
        <w:br/>
        <w:t>Submission Lead – Manages data entry for a hospital/site.</w:t>
      </w:r>
      <w:r>
        <w:br/>
        <w:t>Data Entry Users – Add/edit Case Note and survey data (optional access).</w:t>
      </w:r>
    </w:p>
    <w:p w14:paraId="6F5953F6" w14:textId="77777777" w:rsidR="00B07F8A" w:rsidRDefault="00B07F8A" w:rsidP="006E210B">
      <w:pPr>
        <w:spacing w:line="276" w:lineRule="auto"/>
      </w:pPr>
      <w:r>
        <w:rPr>
          <w:b/>
          <w:bCs/>
        </w:rPr>
        <w:t>Tip:</w:t>
      </w:r>
      <w:r>
        <w:t xml:space="preserve"> Include your Clinical Audit and Quality Improvement leads among the registered team.</w:t>
      </w:r>
    </w:p>
    <w:p w14:paraId="44398604" w14:textId="77777777" w:rsidR="003A6E2B" w:rsidRPr="003A6E2B" w:rsidRDefault="003A6E2B" w:rsidP="006E210B">
      <w:pPr>
        <w:spacing w:line="276" w:lineRule="auto"/>
      </w:pPr>
      <w:r>
        <w:t>Roles can be updated at any time via the registration page or by contacting the NACEL Support Team.</w:t>
      </w:r>
    </w:p>
    <w:p w14:paraId="6DD71B98" w14:textId="77777777" w:rsidR="003A6E2B" w:rsidRPr="003A6E2B" w:rsidRDefault="003A6E2B" w:rsidP="006E210B">
      <w:pPr>
        <w:pStyle w:val="ListParagraph"/>
        <w:numPr>
          <w:ilvl w:val="0"/>
          <w:numId w:val="16"/>
        </w:numPr>
        <w:spacing w:line="276" w:lineRule="auto"/>
      </w:pPr>
      <w:r>
        <w:rPr>
          <w:b/>
          <w:bCs/>
        </w:rPr>
        <w:t>Leavers:</w:t>
      </w:r>
      <w:r>
        <w:t xml:space="preserve"> Notify NACEL Support promptly when a member leaves so their access can be removed.</w:t>
      </w:r>
    </w:p>
    <w:p w14:paraId="704A95BE" w14:textId="77777777" w:rsidR="003A6E2B" w:rsidRPr="003A6E2B" w:rsidRDefault="003A6E2B" w:rsidP="006E210B">
      <w:pPr>
        <w:pStyle w:val="ListParagraph"/>
        <w:numPr>
          <w:ilvl w:val="0"/>
          <w:numId w:val="16"/>
        </w:numPr>
        <w:spacing w:line="276" w:lineRule="auto"/>
      </w:pPr>
      <w:r>
        <w:rPr>
          <w:b/>
          <w:bCs/>
        </w:rPr>
        <w:t>New users:</w:t>
      </w:r>
      <w:r>
        <w:t xml:space="preserve"> The Project Lead can edit Deputy and Submission Lead details. For other user accounts, contact NACEL Support for setup assistance.</w:t>
      </w:r>
    </w:p>
    <w:p w14:paraId="09C2D6AB" w14:textId="1189263C" w:rsidR="00C6220D" w:rsidRPr="00482018" w:rsidRDefault="001F30B6" w:rsidP="006E210B">
      <w:pPr>
        <w:spacing w:line="276" w:lineRule="auto"/>
        <w:rPr>
          <w:b/>
          <w:bCs/>
          <w:sz w:val="24"/>
          <w:szCs w:val="24"/>
        </w:rPr>
      </w:pPr>
      <w:r>
        <w:rPr>
          <w:b/>
          <w:bCs/>
          <w:sz w:val="24"/>
          <w:szCs w:val="24"/>
        </w:rPr>
        <w:t>Submissions</w:t>
      </w:r>
    </w:p>
    <w:p w14:paraId="62CEFF73" w14:textId="77777777" w:rsidR="009C31B1" w:rsidRPr="009C31B1" w:rsidRDefault="009C31B1" w:rsidP="006E210B">
      <w:pPr>
        <w:spacing w:line="276" w:lineRule="auto"/>
      </w:pPr>
      <w:r>
        <w:t>Each submission defines what data is collected and how results are reported. All submissions must include the four NACEL data elements.</w:t>
      </w:r>
    </w:p>
    <w:p w14:paraId="3A2AB71E" w14:textId="77777777" w:rsidR="009C31B1" w:rsidRPr="009C31B1" w:rsidRDefault="009C31B1" w:rsidP="006E210B">
      <w:pPr>
        <w:numPr>
          <w:ilvl w:val="0"/>
          <w:numId w:val="17"/>
        </w:numPr>
        <w:spacing w:line="276" w:lineRule="auto"/>
      </w:pPr>
      <w:r>
        <w:t>Create separate submissions for acute and community hospitals so results can be reported independently.</w:t>
      </w:r>
    </w:p>
    <w:p w14:paraId="13BFD9A9" w14:textId="23E038FD" w:rsidR="009C31B1" w:rsidRPr="009C31B1" w:rsidRDefault="009C31B1" w:rsidP="006E210B">
      <w:pPr>
        <w:numPr>
          <w:ilvl w:val="0"/>
          <w:numId w:val="17"/>
        </w:numPr>
        <w:spacing w:line="276" w:lineRule="auto"/>
      </w:pPr>
      <w:r>
        <w:lastRenderedPageBreak/>
        <w:t>Use clear submission names that identify the hospital or site(s) included.</w:t>
      </w:r>
    </w:p>
    <w:p w14:paraId="420DE11E" w14:textId="77777777" w:rsidR="009C31B1" w:rsidRPr="009C31B1" w:rsidRDefault="009C31B1" w:rsidP="006E210B">
      <w:pPr>
        <w:numPr>
          <w:ilvl w:val="0"/>
          <w:numId w:val="17"/>
        </w:numPr>
        <w:spacing w:line="276" w:lineRule="auto"/>
      </w:pPr>
      <w:r>
        <w:t>Keep submissions consistent each year to support trend analysis — contact the NACEL Support Team if updates are needed.</w:t>
      </w:r>
    </w:p>
    <w:p w14:paraId="298202A2" w14:textId="0B4C2BA2" w:rsidR="009C31B1" w:rsidRPr="009C31B1" w:rsidRDefault="009C31B1" w:rsidP="006E210B">
      <w:pPr>
        <w:numPr>
          <w:ilvl w:val="0"/>
          <w:numId w:val="17"/>
        </w:numPr>
        <w:spacing w:line="276" w:lineRule="auto"/>
      </w:pPr>
      <w:r>
        <w:t>Select the correct submission type (acute or community) before completing registration.</w:t>
      </w:r>
    </w:p>
    <w:bookmarkEnd w:id="15"/>
    <w:p w14:paraId="73235EE5" w14:textId="3C96B45B" w:rsidR="00FE3901" w:rsidRDefault="003F49DC" w:rsidP="006E210B">
      <w:pPr>
        <w:spacing w:line="276" w:lineRule="auto"/>
        <w:rPr>
          <w:b/>
          <w:bCs/>
        </w:rPr>
      </w:pPr>
      <w:r>
        <w:rPr>
          <w:noProof/>
        </w:rPr>
        <w:drawing>
          <wp:anchor distT="0" distB="0" distL="114300" distR="114300" simplePos="0" relativeHeight="251658242" behindDoc="0" locked="0" layoutInCell="1" allowOverlap="1" wp14:anchorId="23D6CDF6" wp14:editId="1CE74EC9">
            <wp:simplePos x="0" y="0"/>
            <wp:positionH relativeFrom="margin">
              <wp:posOffset>767196</wp:posOffset>
            </wp:positionH>
            <wp:positionV relativeFrom="paragraph">
              <wp:posOffset>17458</wp:posOffset>
            </wp:positionV>
            <wp:extent cx="3863975" cy="1558925"/>
            <wp:effectExtent l="19050" t="19050" r="22225" b="22225"/>
            <wp:wrapSquare wrapText="bothSides"/>
            <wp:docPr id="1625411356" name="Picture 1625411356" descr="Graphical user interface, text, application, em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Graphical user interface, text, application, email&#10;&#10;Description automatically generated"/>
                    <pic:cNvPicPr/>
                  </pic:nvPicPr>
                  <pic:blipFill rotWithShape="1">
                    <a:blip r:embed="rId20">
                      <a:extLst>
                        <a:ext uri="{28A0092B-C50C-407E-A947-70E740481C1C}">
                          <a14:useLocalDpi xmlns:a14="http://schemas.microsoft.com/office/drawing/2010/main" val="0"/>
                        </a:ext>
                      </a:extLst>
                    </a:blip>
                    <a:srcRect l="9021" t="44212" r="73990" b="20878"/>
                    <a:stretch/>
                  </pic:blipFill>
                  <pic:spPr bwMode="auto">
                    <a:xfrm>
                      <a:off x="0" y="0"/>
                      <a:ext cx="3863975" cy="1558925"/>
                    </a:xfrm>
                    <a:prstGeom prst="rect">
                      <a:avLst/>
                    </a:prstGeom>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9DA8C05" w14:textId="2B2EC70B" w:rsidR="00680ABF" w:rsidRDefault="00680ABF" w:rsidP="006E210B">
      <w:pPr>
        <w:spacing w:line="276" w:lineRule="auto"/>
        <w:rPr>
          <w:b/>
          <w:bCs/>
        </w:rPr>
      </w:pPr>
    </w:p>
    <w:p w14:paraId="0AE0A0D0" w14:textId="77777777" w:rsidR="00680ABF" w:rsidRDefault="00680ABF" w:rsidP="006E210B">
      <w:pPr>
        <w:spacing w:line="276" w:lineRule="auto"/>
        <w:rPr>
          <w:b/>
          <w:bCs/>
        </w:rPr>
      </w:pPr>
    </w:p>
    <w:p w14:paraId="0D56D1BE" w14:textId="77777777" w:rsidR="00680ABF" w:rsidRPr="00AF2AFB" w:rsidRDefault="00680ABF" w:rsidP="006E210B">
      <w:pPr>
        <w:spacing w:line="276" w:lineRule="auto"/>
        <w:rPr>
          <w:b/>
          <w:bCs/>
        </w:rPr>
      </w:pPr>
    </w:p>
    <w:p w14:paraId="4D625B83" w14:textId="77777777" w:rsidR="00C0789E" w:rsidRDefault="00C0789E" w:rsidP="006E210B">
      <w:pPr>
        <w:pStyle w:val="Heading1"/>
        <w:spacing w:line="276" w:lineRule="auto"/>
        <w:rPr>
          <w:rFonts w:asciiTheme="minorHAnsi" w:hAnsiTheme="minorHAnsi" w:cstheme="minorHAnsi"/>
          <w:b/>
          <w:bCs/>
          <w:color w:val="385623" w:themeColor="accent6" w:themeShade="80"/>
          <w:sz w:val="24"/>
          <w:szCs w:val="24"/>
        </w:rPr>
      </w:pPr>
      <w:bookmarkStart w:id="16" w:name="_Toc212207535"/>
    </w:p>
    <w:p w14:paraId="0CD96C88" w14:textId="77777777" w:rsidR="00C0789E" w:rsidRDefault="00C0789E" w:rsidP="006E210B">
      <w:pPr>
        <w:pStyle w:val="Heading1"/>
        <w:spacing w:line="276" w:lineRule="auto"/>
        <w:rPr>
          <w:rFonts w:asciiTheme="minorHAnsi" w:hAnsiTheme="minorHAnsi" w:cstheme="minorHAnsi"/>
          <w:b/>
          <w:bCs/>
          <w:color w:val="385623" w:themeColor="accent6" w:themeShade="80"/>
          <w:sz w:val="24"/>
          <w:szCs w:val="24"/>
        </w:rPr>
      </w:pPr>
    </w:p>
    <w:p w14:paraId="2C5241CE" w14:textId="515D8C3A" w:rsidR="00BA51E3" w:rsidRPr="00AF2AFB" w:rsidRDefault="00424980" w:rsidP="006E210B">
      <w:pPr>
        <w:pStyle w:val="Heading1"/>
        <w:spacing w:line="276" w:lineRule="auto"/>
        <w:rPr>
          <w:rFonts w:asciiTheme="minorHAnsi" w:hAnsiTheme="minorHAnsi" w:cstheme="minorHAnsi"/>
          <w:b/>
          <w:bCs/>
          <w:color w:val="385623" w:themeColor="accent6" w:themeShade="80"/>
          <w:sz w:val="24"/>
          <w:szCs w:val="24"/>
        </w:rPr>
      </w:pPr>
      <w:r>
        <w:rPr>
          <w:rFonts w:asciiTheme="minorHAnsi" w:hAnsiTheme="minorHAnsi" w:cstheme="minorHAnsi"/>
          <w:b/>
          <w:bCs/>
          <w:color w:val="385623" w:themeColor="accent6" w:themeShade="80"/>
          <w:sz w:val="24"/>
          <w:szCs w:val="24"/>
        </w:rPr>
        <w:t>5. Data collection</w:t>
      </w:r>
      <w:bookmarkEnd w:id="16"/>
    </w:p>
    <w:p w14:paraId="68D0D0F4" w14:textId="77777777" w:rsidR="00354753" w:rsidRDefault="00881F75">
      <w:pPr>
        <w:spacing w:line="276" w:lineRule="auto"/>
      </w:pPr>
      <w:r>
        <w:t>NACEL 2027 includes four audit elements:</w:t>
      </w:r>
      <w:r>
        <w:br/>
        <w:t xml:space="preserve">1. </w:t>
      </w:r>
      <w:r>
        <w:rPr>
          <w:b/>
          <w:bCs/>
        </w:rPr>
        <w:t>Case Note Review</w:t>
      </w:r>
      <w:r>
        <w:t xml:space="preserve"> - Structured review of patient records.</w:t>
      </w:r>
      <w:r>
        <w:br/>
        <w:t xml:space="preserve">2. </w:t>
      </w:r>
      <w:r>
        <w:rPr>
          <w:b/>
          <w:bCs/>
        </w:rPr>
        <w:t>Bereavement Survey</w:t>
      </w:r>
      <w:r>
        <w:t xml:space="preserve"> - Feedback from carers or relatives.</w:t>
      </w:r>
      <w:r>
        <w:br/>
        <w:t xml:space="preserve">3. </w:t>
      </w:r>
      <w:r>
        <w:rPr>
          <w:b/>
          <w:bCs/>
        </w:rPr>
        <w:t>Hospital/Site Overview</w:t>
      </w:r>
      <w:r>
        <w:t xml:space="preserve"> - Organisation-level information on beds, specialist palliative care, staff training, care after death and quality improvement.</w:t>
      </w:r>
      <w:r>
        <w:br/>
        <w:t xml:space="preserve">4. </w:t>
      </w:r>
      <w:r>
        <w:rPr>
          <w:b/>
          <w:bCs/>
        </w:rPr>
        <w:t>Annual Death Data</w:t>
      </w:r>
      <w:r>
        <w:t xml:space="preserve"> - Summary of total deaths and case ascertainment.</w:t>
      </w:r>
    </w:p>
    <w:p w14:paraId="720D0617" w14:textId="2FD7CBDC" w:rsidR="0013782F" w:rsidRPr="001E7B31" w:rsidRDefault="00356C35">
      <w:pPr>
        <w:spacing w:line="276" w:lineRule="auto"/>
        <w:rPr>
          <w:b/>
          <w:bCs/>
          <w:i/>
          <w:iCs/>
          <w:color w:val="375623" w:themeColor="accent5"/>
        </w:rPr>
      </w:pPr>
      <w:r>
        <w:rPr>
          <w:b/>
          <w:bCs/>
          <w:i/>
          <w:iCs/>
          <w:color w:val="375623" w:themeColor="accent5"/>
        </w:rPr>
        <w:t xml:space="preserve">For guidance on the data collection process, </w:t>
      </w:r>
      <w:hyperlink r:id="rId21" w:history="1">
        <w:r>
          <w:rPr>
            <w:rStyle w:val="Hyperlink"/>
            <w:b/>
            <w:bCs/>
            <w:i/>
            <w:iCs/>
          </w:rPr>
          <w:t>please see the DIT guidance</w:t>
        </w:r>
      </w:hyperlink>
      <w:r>
        <w:rPr>
          <w:b/>
          <w:bCs/>
          <w:i/>
          <w:iCs/>
          <w:color w:val="375623" w:themeColor="accent5"/>
        </w:rPr>
        <w:t>.</w:t>
      </w:r>
    </w:p>
    <w:p w14:paraId="32BA92B8" w14:textId="608E28BD" w:rsidR="00825109" w:rsidRPr="00825109" w:rsidRDefault="00825109" w:rsidP="00D97995">
      <w:pPr>
        <w:spacing w:line="276" w:lineRule="auto"/>
        <w:rPr>
          <w:bCs/>
        </w:rPr>
      </w:pPr>
      <w:hyperlink r:id="rId22" w:history="1"/>
      <w:r>
        <w:rPr>
          <w:bCs/>
        </w:rPr>
        <w:t xml:space="preserve">The NACEL 2027 data specifications (questions, answers, and definitions) are available in Excel and PDF at </w:t>
      </w:r>
      <w:hyperlink r:id="rId23" w:tgtFrame="_new" w:history="1">
        <w:r>
          <w:rPr>
            <w:rStyle w:val="Hyperlink"/>
            <w:bCs/>
          </w:rPr>
          <w:t>www.nacel.nhs.uk/audit-guidance</w:t>
        </w:r>
      </w:hyperlink>
      <w:r>
        <w:rPr>
          <w:bCs/>
        </w:rPr>
        <w:t>.</w:t>
      </w:r>
    </w:p>
    <w:p w14:paraId="3A9B5C62" w14:textId="77777777" w:rsidR="00825109" w:rsidRPr="00825109" w:rsidRDefault="00825109" w:rsidP="00D97995">
      <w:pPr>
        <w:numPr>
          <w:ilvl w:val="0"/>
          <w:numId w:val="18"/>
        </w:numPr>
        <w:spacing w:line="276" w:lineRule="auto"/>
        <w:rPr>
          <w:bCs/>
        </w:rPr>
      </w:pPr>
      <w:r>
        <w:rPr>
          <w:bCs/>
        </w:rPr>
        <w:t>These can be used for reference and record keeping.</w:t>
      </w:r>
    </w:p>
    <w:p w14:paraId="7533F6A3" w14:textId="77777777" w:rsidR="00825109" w:rsidRPr="00825109" w:rsidRDefault="00825109" w:rsidP="00D97995">
      <w:pPr>
        <w:numPr>
          <w:ilvl w:val="0"/>
          <w:numId w:val="18"/>
        </w:numPr>
        <w:spacing w:line="276" w:lineRule="auto"/>
        <w:rPr>
          <w:bCs/>
        </w:rPr>
      </w:pPr>
      <w:r>
        <w:rPr>
          <w:bCs/>
        </w:rPr>
        <w:t>All data must be submitted online via the data collection pages.</w:t>
      </w:r>
    </w:p>
    <w:p w14:paraId="18784A28" w14:textId="77777777" w:rsidR="006C474F" w:rsidRPr="00424980" w:rsidRDefault="006C474F" w:rsidP="006E210B">
      <w:pPr>
        <w:pStyle w:val="Heading2"/>
        <w:spacing w:line="276" w:lineRule="auto"/>
        <w:rPr>
          <w:rFonts w:asciiTheme="minorHAnsi" w:hAnsiTheme="minorHAnsi" w:cstheme="minorHAnsi"/>
          <w:b/>
          <w:bCs/>
          <w:color w:val="385623" w:themeColor="accent6" w:themeShade="80"/>
          <w:sz w:val="24"/>
          <w:szCs w:val="24"/>
        </w:rPr>
      </w:pPr>
      <w:bookmarkStart w:id="17" w:name="_Toc212207536"/>
      <w:bookmarkStart w:id="18" w:name="_Hlk150812083"/>
      <w:r>
        <w:rPr>
          <w:rFonts w:asciiTheme="minorHAnsi" w:hAnsiTheme="minorHAnsi" w:cstheme="minorHAnsi"/>
          <w:b/>
          <w:bCs/>
          <w:color w:val="385623" w:themeColor="accent6" w:themeShade="80"/>
          <w:sz w:val="24"/>
          <w:szCs w:val="24"/>
        </w:rPr>
        <w:t>Case Note Review</w:t>
      </w:r>
      <w:bookmarkEnd w:id="17"/>
    </w:p>
    <w:p w14:paraId="59C1ACBB" w14:textId="6F55DE2C" w:rsidR="006C474F" w:rsidRDefault="006C474F" w:rsidP="006E210B">
      <w:pPr>
        <w:spacing w:line="276" w:lineRule="auto"/>
        <w:rPr>
          <w:rFonts w:cstheme="minorHAnsi"/>
        </w:rPr>
      </w:pPr>
      <w:bookmarkStart w:id="19" w:name="_Hlk59448745"/>
      <w:r>
        <w:rPr>
          <w:rFonts w:cstheme="minorHAnsi"/>
        </w:rPr>
        <w:t xml:space="preserve">The Case Note Review is a patient-level data collection focusing on </w:t>
      </w:r>
      <w:hyperlink r:id="rId24" w:history="1">
        <w:r>
          <w:rPr>
            <w:rStyle w:val="Hyperlink"/>
            <w:rFonts w:cstheme="minorHAnsi"/>
          </w:rPr>
          <w:t>10 primary drivers</w:t>
        </w:r>
      </w:hyperlink>
      <w:r>
        <w:rPr>
          <w:rFonts w:cstheme="minorHAnsi"/>
        </w:rPr>
        <w:t xml:space="preserve"> for improving care, including recognition of dying, timely review of the dying and deceased patient, etc. </w:t>
      </w:r>
    </w:p>
    <w:p w14:paraId="2FFBA4B7" w14:textId="77777777" w:rsidR="00577BDE" w:rsidRPr="002F3FE1" w:rsidRDefault="00577BDE" w:rsidP="006E210B">
      <w:pPr>
        <w:pStyle w:val="ListParagraph"/>
        <w:numPr>
          <w:ilvl w:val="0"/>
          <w:numId w:val="20"/>
        </w:numPr>
        <w:spacing w:after="0" w:line="276" w:lineRule="auto"/>
        <w:rPr>
          <w:rFonts w:cstheme="minorHAnsi"/>
        </w:rPr>
      </w:pPr>
      <w:r>
        <w:rPr>
          <w:rFonts w:cstheme="minorHAnsi"/>
        </w:rPr>
        <w:t>Data submitted to the Case Note Review is pseudonymised -</w:t>
      </w:r>
      <w:r>
        <w:t xml:space="preserve"> no patient-identifiable information is submitted</w:t>
      </w:r>
    </w:p>
    <w:p w14:paraId="7B0C676A" w14:textId="7D190F61" w:rsidR="00354753" w:rsidRPr="003621DA" w:rsidRDefault="00881F75">
      <w:pPr>
        <w:pStyle w:val="ListParagraph"/>
        <w:numPr>
          <w:ilvl w:val="0"/>
          <w:numId w:val="20"/>
        </w:numPr>
        <w:spacing w:after="0" w:line="276" w:lineRule="auto"/>
        <w:rPr>
          <w:rFonts w:cstheme="minorHAnsi"/>
        </w:rPr>
      </w:pPr>
      <w:r>
        <w:rPr>
          <w:rFonts w:cstheme="minorHAnsi"/>
        </w:rPr>
        <w:t>The Case Note Review asks for the patient's usual home postcode sector only (the part of the postcode before the space plus the first character after it for example SK7 1 from SK7 1AB). Enter the postcode sector without the space (for example SK71). Do not enter the full postcode.</w:t>
      </w:r>
    </w:p>
    <w:p w14:paraId="63EACF27" w14:textId="77777777" w:rsidR="00577BDE" w:rsidRPr="002F3FE1" w:rsidRDefault="00577BDE" w:rsidP="006E210B">
      <w:pPr>
        <w:pStyle w:val="ListParagraph"/>
        <w:numPr>
          <w:ilvl w:val="0"/>
          <w:numId w:val="20"/>
        </w:numPr>
        <w:spacing w:after="0" w:line="276" w:lineRule="auto"/>
        <w:rPr>
          <w:rFonts w:cstheme="minorHAnsi"/>
        </w:rPr>
      </w:pPr>
      <w:r>
        <w:rPr>
          <w:rFonts w:cstheme="minorHAnsi"/>
        </w:rPr>
        <w:t xml:space="preserve">Each patient must be assigned a ‘case code’ to submit their data under; this is to ensure no patient-identifiable data is submitted. </w:t>
      </w:r>
    </w:p>
    <w:p w14:paraId="421A00BB" w14:textId="77777777" w:rsidR="00577BDE" w:rsidRDefault="00577BDE" w:rsidP="006E210B">
      <w:pPr>
        <w:pStyle w:val="ListParagraph"/>
        <w:numPr>
          <w:ilvl w:val="0"/>
          <w:numId w:val="20"/>
        </w:numPr>
        <w:spacing w:after="0" w:line="276" w:lineRule="auto"/>
        <w:rPr>
          <w:rFonts w:cstheme="minorHAnsi"/>
        </w:rPr>
      </w:pPr>
      <w:r>
        <w:rPr>
          <w:rFonts w:cstheme="minorHAnsi"/>
        </w:rPr>
        <w:t xml:space="preserve">Download the data specification from the </w:t>
      </w:r>
      <w:hyperlink r:id="rId25" w:history="1">
        <w:r>
          <w:rPr>
            <w:rStyle w:val="Hyperlink"/>
            <w:rFonts w:cstheme="minorHAnsi"/>
          </w:rPr>
          <w:t>NACEL Portal</w:t>
        </w:r>
      </w:hyperlink>
      <w:r>
        <w:rPr>
          <w:rFonts w:cstheme="minorHAnsi"/>
        </w:rPr>
        <w:t xml:space="preserve"> to prepare data offline before entry into the online pages</w:t>
      </w:r>
    </w:p>
    <w:p w14:paraId="026E1F40" w14:textId="52E3B99C" w:rsidR="00E43EE4" w:rsidRDefault="006C474F" w:rsidP="006E210B">
      <w:pPr>
        <w:spacing w:line="276" w:lineRule="auto"/>
      </w:pPr>
      <w:r>
        <w:t xml:space="preserve">There are two data collection periods within the year: </w:t>
      </w:r>
    </w:p>
    <w:p w14:paraId="14B70B5B" w14:textId="77777777" w:rsidR="00E43EE4" w:rsidRDefault="006C474F" w:rsidP="006E210B">
      <w:pPr>
        <w:pStyle w:val="ListParagraph"/>
        <w:numPr>
          <w:ilvl w:val="0"/>
          <w:numId w:val="19"/>
        </w:numPr>
        <w:spacing w:line="276" w:lineRule="auto"/>
      </w:pPr>
      <w:r>
        <w:lastRenderedPageBreak/>
        <w:t>January – July 2027</w:t>
      </w:r>
    </w:p>
    <w:p w14:paraId="760C77B8" w14:textId="051ADDE5" w:rsidR="006C474F" w:rsidRDefault="006C474F" w:rsidP="006E210B">
      <w:pPr>
        <w:pStyle w:val="ListParagraph"/>
        <w:numPr>
          <w:ilvl w:val="0"/>
          <w:numId w:val="19"/>
        </w:numPr>
        <w:spacing w:line="276" w:lineRule="auto"/>
      </w:pPr>
      <w:r>
        <w:t xml:space="preserve">July – January 2028. </w:t>
      </w:r>
    </w:p>
    <w:p w14:paraId="5759BC5D" w14:textId="4719DB38" w:rsidR="006C474F" w:rsidRPr="00424980" w:rsidRDefault="006C474F" w:rsidP="006E210B">
      <w:pPr>
        <w:spacing w:line="276" w:lineRule="auto"/>
        <w:rPr>
          <w:b/>
          <w:bCs/>
        </w:rPr>
      </w:pPr>
      <w:r>
        <w:rPr>
          <w:b/>
          <w:bCs/>
        </w:rPr>
        <w:t>Sample size</w:t>
      </w:r>
    </w:p>
    <w:p w14:paraId="20EC13DF" w14:textId="77777777" w:rsidR="00926407" w:rsidRDefault="006C474F" w:rsidP="006E210B">
      <w:pPr>
        <w:spacing w:line="276" w:lineRule="auto"/>
        <w:rPr>
          <w:rFonts w:cstheme="minorHAnsi"/>
        </w:rPr>
      </w:pPr>
      <w:r>
        <w:rPr>
          <w:rFonts w:cstheme="minorHAnsi"/>
        </w:rPr>
        <w:t xml:space="preserve">Each submission should review </w:t>
      </w:r>
      <w:r>
        <w:rPr>
          <w:rFonts w:cstheme="minorHAnsi"/>
          <w:b/>
          <w:bCs/>
        </w:rPr>
        <w:t>20</w:t>
      </w:r>
      <w:r>
        <w:rPr>
          <w:rFonts w:cstheme="minorHAnsi"/>
        </w:rPr>
        <w:t xml:space="preserve"> – </w:t>
      </w:r>
      <w:r>
        <w:rPr>
          <w:rFonts w:cstheme="minorHAnsi"/>
          <w:b/>
          <w:bCs/>
        </w:rPr>
        <w:t xml:space="preserve">70 </w:t>
      </w:r>
      <w:r>
        <w:rPr>
          <w:rFonts w:cstheme="minorHAnsi"/>
        </w:rPr>
        <w:t>deaths each quarter</w:t>
      </w:r>
    </w:p>
    <w:p w14:paraId="060B5E7A" w14:textId="77777777" w:rsidR="00EB5207" w:rsidRDefault="006C474F" w:rsidP="006E210B">
      <w:pPr>
        <w:pStyle w:val="ListParagraph"/>
        <w:numPr>
          <w:ilvl w:val="0"/>
          <w:numId w:val="1"/>
        </w:numPr>
        <w:spacing w:line="276" w:lineRule="auto"/>
        <w:rPr>
          <w:rFonts w:cstheme="minorHAnsi"/>
        </w:rPr>
      </w:pPr>
      <w:r>
        <w:rPr>
          <w:rFonts w:cstheme="minorHAnsi"/>
        </w:rPr>
        <w:t>Acute and community hospital submissions should audit 20 consecutive deaths occurring in each quarter (up to 70).</w:t>
      </w:r>
    </w:p>
    <w:p w14:paraId="060B9E19" w14:textId="3ED01FE8" w:rsidR="00177243" w:rsidRDefault="00CC5D1E">
      <w:pPr>
        <w:pStyle w:val="ListParagraph"/>
        <w:numPr>
          <w:ilvl w:val="0"/>
          <w:numId w:val="1"/>
        </w:numPr>
        <w:spacing w:line="276" w:lineRule="auto"/>
        <w:rPr>
          <w:rFonts w:cstheme="minorHAnsi"/>
        </w:rPr>
      </w:pPr>
      <w:r>
        <w:rPr>
          <w:rFonts w:cstheme="minorHAnsi"/>
        </w:rPr>
        <w:t xml:space="preserve">Case Note Review data is used in the NACEL Management of Outliers process. Organisations that take part in NACEL but do not take part in the Case Note </w:t>
      </w:r>
      <w:proofErr w:type="gramStart"/>
      <w:r>
        <w:rPr>
          <w:rFonts w:cstheme="minorHAnsi"/>
        </w:rPr>
        <w:t>Review, or</w:t>
      </w:r>
      <w:proofErr w:type="gramEnd"/>
      <w:r>
        <w:rPr>
          <w:rFonts w:cstheme="minorHAnsi"/>
        </w:rPr>
        <w:t xml:space="preserve"> submit fewer than 80 case note reviews despite having more than 80 eligible deaths within the year, will be identified as alarm-level outliers. </w:t>
      </w:r>
    </w:p>
    <w:p w14:paraId="44A4A8FB" w14:textId="14A7D7B8" w:rsidR="00EB5207" w:rsidRPr="00EB5207" w:rsidRDefault="00EB5207" w:rsidP="006E210B">
      <w:pPr>
        <w:pStyle w:val="ListParagraph"/>
        <w:numPr>
          <w:ilvl w:val="0"/>
          <w:numId w:val="1"/>
        </w:numPr>
        <w:spacing w:line="276" w:lineRule="auto"/>
        <w:rPr>
          <w:rFonts w:cstheme="minorHAnsi"/>
        </w:rPr>
      </w:pPr>
      <w:r>
        <w:rPr>
          <w:rFonts w:cstheme="minorHAnsi"/>
        </w:rPr>
        <w:t>If a death cannot be reviewed (e.g. patient opted out or case under review), select the next eligible death.</w:t>
      </w:r>
    </w:p>
    <w:p w14:paraId="7F760174" w14:textId="33E1C55E" w:rsidR="00EB5207" w:rsidRDefault="00EB5207" w:rsidP="006E210B">
      <w:pPr>
        <w:pStyle w:val="ListParagraph"/>
        <w:numPr>
          <w:ilvl w:val="0"/>
          <w:numId w:val="1"/>
        </w:numPr>
        <w:spacing w:line="276" w:lineRule="auto"/>
        <w:rPr>
          <w:rFonts w:cstheme="minorHAnsi"/>
        </w:rPr>
      </w:pPr>
      <w:r>
        <w:rPr>
          <w:rFonts w:cstheme="minorHAnsi"/>
        </w:rPr>
        <w:t>If fewer than 20 deaths are available, review as many as possible (note: every record contributes to supporting a national picture of care at the end of life).</w:t>
      </w:r>
    </w:p>
    <w:p w14:paraId="67BC5FF1" w14:textId="711A082B" w:rsidR="00692336" w:rsidRPr="00692336" w:rsidRDefault="00692336" w:rsidP="006E210B">
      <w:pPr>
        <w:spacing w:line="276" w:lineRule="auto"/>
        <w:rPr>
          <w:rFonts w:cstheme="minorHAnsi"/>
          <w:b/>
          <w:bCs/>
        </w:rPr>
      </w:pPr>
      <w:r>
        <w:rPr>
          <w:rFonts w:cstheme="minorHAnsi"/>
          <w:b/>
          <w:bCs/>
        </w:rPr>
        <w:t>Data collection schedule</w:t>
      </w:r>
    </w:p>
    <w:tbl>
      <w:tblPr>
        <w:tblW w:w="9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837"/>
        <w:gridCol w:w="3266"/>
        <w:gridCol w:w="2537"/>
        <w:gridCol w:w="1849"/>
      </w:tblGrid>
      <w:tr w:rsidR="006C474F" w:rsidRPr="00AF2AFB" w14:paraId="75851EB0" w14:textId="77777777" w:rsidTr="00AA58D8">
        <w:trPr>
          <w:trHeight w:val="622"/>
        </w:trPr>
        <w:tc>
          <w:tcPr>
            <w:tcW w:w="1837" w:type="dxa"/>
            <w:shd w:val="clear" w:color="auto" w:fill="A8D08D" w:themeFill="accent6" w:themeFillTint="99"/>
            <w:tcMar>
              <w:top w:w="15" w:type="dxa"/>
              <w:left w:w="108" w:type="dxa"/>
              <w:bottom w:w="0" w:type="dxa"/>
              <w:right w:w="108" w:type="dxa"/>
            </w:tcMar>
            <w:vAlign w:val="center"/>
            <w:hideMark/>
          </w:tcPr>
          <w:p w14:paraId="7BB81BDE" w14:textId="77777777" w:rsidR="006C474F" w:rsidRPr="00AF2AFB" w:rsidRDefault="006C474F" w:rsidP="006E210B">
            <w:pPr>
              <w:spacing w:after="0" w:line="276" w:lineRule="auto"/>
              <w:jc w:val="center"/>
              <w:rPr>
                <w:rFonts w:ascii="Arial" w:eastAsia="Times New Roman" w:hAnsi="Arial" w:cs="Arial"/>
                <w:sz w:val="18"/>
                <w:szCs w:val="18"/>
                <w:lang w:eastAsia="zh-CN"/>
              </w:rPr>
            </w:pPr>
            <w:r>
              <w:rPr>
                <w:rFonts w:ascii="Calibri" w:eastAsia="Times New Roman" w:hAnsi="Calibri" w:cs="Calibri"/>
                <w:b/>
                <w:bCs/>
                <w:kern w:val="24"/>
                <w:sz w:val="18"/>
                <w:szCs w:val="18"/>
                <w:lang w:eastAsia="zh-CN"/>
              </w:rPr>
              <w:t>Data collection timescales</w:t>
            </w:r>
          </w:p>
        </w:tc>
        <w:tc>
          <w:tcPr>
            <w:tcW w:w="3266" w:type="dxa"/>
            <w:shd w:val="clear" w:color="auto" w:fill="A8D08D" w:themeFill="accent6" w:themeFillTint="99"/>
            <w:vAlign w:val="center"/>
          </w:tcPr>
          <w:p w14:paraId="61121F9D" w14:textId="77777777" w:rsidR="006C474F" w:rsidRPr="00AF2AFB" w:rsidRDefault="006C474F" w:rsidP="006E210B">
            <w:pPr>
              <w:spacing w:after="0" w:line="276" w:lineRule="auto"/>
              <w:jc w:val="center"/>
              <w:rPr>
                <w:rFonts w:ascii="Calibri" w:eastAsia="Times New Roman" w:hAnsi="Calibri" w:cs="Calibri"/>
                <w:b/>
                <w:bCs/>
                <w:kern w:val="24"/>
                <w:sz w:val="18"/>
                <w:szCs w:val="18"/>
                <w:lang w:eastAsia="zh-CN"/>
              </w:rPr>
            </w:pPr>
            <w:r>
              <w:rPr>
                <w:rFonts w:ascii="Calibri" w:eastAsia="Times New Roman" w:hAnsi="Calibri" w:cs="Calibri"/>
                <w:b/>
                <w:bCs/>
                <w:kern w:val="24"/>
                <w:sz w:val="18"/>
                <w:szCs w:val="18"/>
                <w:lang w:eastAsia="zh-CN"/>
              </w:rPr>
              <w:t>Period audited (date of death)</w:t>
            </w:r>
          </w:p>
        </w:tc>
        <w:tc>
          <w:tcPr>
            <w:tcW w:w="2537" w:type="dxa"/>
            <w:shd w:val="clear" w:color="auto" w:fill="A8D08D" w:themeFill="accent6" w:themeFillTint="99"/>
            <w:vAlign w:val="center"/>
          </w:tcPr>
          <w:p w14:paraId="0F53AF91" w14:textId="48E627CA" w:rsidR="006C474F" w:rsidRPr="00AF2AFB" w:rsidRDefault="006C474F" w:rsidP="006E210B">
            <w:pPr>
              <w:spacing w:after="0" w:line="276" w:lineRule="auto"/>
              <w:jc w:val="center"/>
              <w:rPr>
                <w:rFonts w:ascii="Calibri" w:eastAsia="Times New Roman" w:hAnsi="Calibri" w:cs="Calibri"/>
                <w:b/>
                <w:bCs/>
                <w:kern w:val="24"/>
                <w:sz w:val="18"/>
                <w:szCs w:val="18"/>
                <w:lang w:eastAsia="zh-CN"/>
              </w:rPr>
            </w:pPr>
            <w:r>
              <w:rPr>
                <w:rFonts w:ascii="Calibri" w:eastAsia="Times New Roman" w:hAnsi="Calibri" w:cs="Calibri"/>
                <w:b/>
                <w:bCs/>
                <w:kern w:val="24"/>
                <w:sz w:val="18"/>
                <w:szCs w:val="18"/>
                <w:lang w:eastAsia="zh-CN"/>
              </w:rPr>
              <w:t>Sample size</w:t>
            </w:r>
          </w:p>
        </w:tc>
        <w:tc>
          <w:tcPr>
            <w:tcW w:w="1849" w:type="dxa"/>
            <w:shd w:val="clear" w:color="auto" w:fill="A8D08D" w:themeFill="accent6" w:themeFillTint="99"/>
            <w:tcMar>
              <w:top w:w="15" w:type="dxa"/>
              <w:left w:w="108" w:type="dxa"/>
              <w:bottom w:w="0" w:type="dxa"/>
              <w:right w:w="108" w:type="dxa"/>
            </w:tcMar>
            <w:vAlign w:val="center"/>
            <w:hideMark/>
          </w:tcPr>
          <w:p w14:paraId="188305E0" w14:textId="77777777" w:rsidR="006C474F" w:rsidRPr="00AF2AFB" w:rsidRDefault="006C474F" w:rsidP="006E210B">
            <w:pPr>
              <w:spacing w:after="0" w:line="276" w:lineRule="auto"/>
              <w:jc w:val="center"/>
              <w:rPr>
                <w:rFonts w:ascii="Arial" w:eastAsia="Times New Roman" w:hAnsi="Arial" w:cs="Arial"/>
                <w:sz w:val="20"/>
                <w:szCs w:val="20"/>
                <w:lang w:eastAsia="zh-CN"/>
              </w:rPr>
            </w:pPr>
            <w:r>
              <w:rPr>
                <w:rFonts w:ascii="Calibri" w:eastAsia="Times New Roman" w:hAnsi="Calibri" w:cs="Calibri"/>
                <w:b/>
                <w:bCs/>
                <w:kern w:val="24"/>
                <w:sz w:val="20"/>
                <w:szCs w:val="20"/>
                <w:lang w:eastAsia="zh-CN"/>
              </w:rPr>
              <w:t>Reporting timescales</w:t>
            </w:r>
          </w:p>
        </w:tc>
      </w:tr>
      <w:tr w:rsidR="0090402B" w:rsidRPr="00AF2AFB" w14:paraId="78EC1EC8" w14:textId="77777777">
        <w:trPr>
          <w:trHeight w:val="55"/>
        </w:trPr>
        <w:tc>
          <w:tcPr>
            <w:tcW w:w="1837" w:type="dxa"/>
            <w:vMerge w:val="restart"/>
            <w:tcMar>
              <w:top w:w="15" w:type="dxa"/>
              <w:left w:w="69" w:type="dxa"/>
              <w:bottom w:w="0" w:type="dxa"/>
              <w:right w:w="69" w:type="dxa"/>
            </w:tcMar>
            <w:vAlign w:val="center"/>
            <w:hideMark/>
          </w:tcPr>
          <w:p w14:paraId="0EF74E9C" w14:textId="251F40C6" w:rsidR="0090402B" w:rsidRPr="00AF2AFB" w:rsidRDefault="0090402B" w:rsidP="006E210B">
            <w:pPr>
              <w:spacing w:after="0" w:line="276" w:lineRule="auto"/>
              <w:jc w:val="center"/>
              <w:rPr>
                <w:rFonts w:eastAsia="Times New Roman" w:cstheme="minorHAnsi"/>
                <w:sz w:val="18"/>
                <w:szCs w:val="18"/>
                <w:lang w:eastAsia="zh-CN"/>
              </w:rPr>
            </w:pPr>
            <w:r>
              <w:rPr>
                <w:rFonts w:eastAsia="Times New Roman" w:cstheme="minorHAnsi"/>
                <w:kern w:val="24"/>
                <w:sz w:val="18"/>
                <w:szCs w:val="18"/>
                <w:lang w:eastAsia="zh-CN"/>
              </w:rPr>
              <w:t>18</w:t>
            </w:r>
            <w:r>
              <w:rPr>
                <w:rFonts w:eastAsia="Times New Roman" w:cstheme="minorHAnsi"/>
                <w:kern w:val="24"/>
                <w:sz w:val="18"/>
                <w:szCs w:val="18"/>
                <w:vertAlign w:val="superscript"/>
                <w:lang w:eastAsia="zh-CN"/>
              </w:rPr>
              <w:t>th</w:t>
            </w:r>
            <w:r>
              <w:rPr>
                <w:rFonts w:eastAsia="Times New Roman" w:cstheme="minorHAnsi"/>
                <w:kern w:val="24"/>
                <w:sz w:val="18"/>
                <w:szCs w:val="18"/>
                <w:lang w:eastAsia="zh-CN"/>
              </w:rPr>
              <w:t xml:space="preserve"> January – 11</w:t>
            </w:r>
            <w:r>
              <w:rPr>
                <w:rFonts w:eastAsia="Times New Roman" w:cstheme="minorHAnsi"/>
                <w:kern w:val="24"/>
                <w:sz w:val="18"/>
                <w:szCs w:val="18"/>
                <w:vertAlign w:val="superscript"/>
                <w:lang w:eastAsia="zh-CN"/>
              </w:rPr>
              <w:t>th</w:t>
            </w:r>
            <w:r>
              <w:rPr>
                <w:rFonts w:eastAsia="Times New Roman" w:cstheme="minorHAnsi"/>
                <w:kern w:val="24"/>
                <w:sz w:val="18"/>
                <w:szCs w:val="18"/>
                <w:lang w:eastAsia="zh-CN"/>
              </w:rPr>
              <w:t xml:space="preserve"> July 2027</w:t>
            </w:r>
          </w:p>
        </w:tc>
        <w:tc>
          <w:tcPr>
            <w:tcW w:w="3266" w:type="dxa"/>
            <w:vAlign w:val="center"/>
          </w:tcPr>
          <w:p w14:paraId="408F7623" w14:textId="07DA8ACA" w:rsidR="0090402B" w:rsidRPr="00AF2AFB" w:rsidRDefault="0090402B" w:rsidP="006E210B">
            <w:pPr>
              <w:spacing w:after="0" w:line="276" w:lineRule="auto"/>
              <w:jc w:val="center"/>
              <w:rPr>
                <w:rFonts w:eastAsia="Times New Roman" w:cstheme="minorHAnsi"/>
                <w:sz w:val="18"/>
                <w:szCs w:val="18"/>
                <w:lang w:eastAsia="zh-CN"/>
              </w:rPr>
            </w:pPr>
            <w:r>
              <w:rPr>
                <w:rFonts w:eastAsia="Times New Roman" w:cstheme="minorHAnsi"/>
                <w:b/>
                <w:bCs/>
                <w:kern w:val="24"/>
                <w:sz w:val="18"/>
                <w:szCs w:val="18"/>
                <w:lang w:eastAsia="zh-CN"/>
              </w:rPr>
              <w:t>Q4</w:t>
            </w:r>
            <w:r>
              <w:rPr>
                <w:rFonts w:eastAsia="Times New Roman" w:cstheme="minorHAnsi"/>
                <w:kern w:val="24"/>
                <w:sz w:val="18"/>
                <w:szCs w:val="18"/>
                <w:lang w:eastAsia="zh-CN"/>
              </w:rPr>
              <w:t>: 1</w:t>
            </w:r>
            <w:r>
              <w:rPr>
                <w:rFonts w:eastAsia="Times New Roman" w:cstheme="minorHAnsi"/>
                <w:kern w:val="24"/>
                <w:sz w:val="18"/>
                <w:szCs w:val="18"/>
                <w:vertAlign w:val="superscript"/>
                <w:lang w:eastAsia="zh-CN"/>
              </w:rPr>
              <w:t>st</w:t>
            </w:r>
            <w:r>
              <w:rPr>
                <w:rFonts w:eastAsia="Times New Roman" w:cstheme="minorHAnsi"/>
                <w:kern w:val="24"/>
                <w:sz w:val="18"/>
                <w:szCs w:val="18"/>
                <w:lang w:eastAsia="zh-CN"/>
              </w:rPr>
              <w:t xml:space="preserve"> Jan – 31</w:t>
            </w:r>
            <w:r>
              <w:rPr>
                <w:rFonts w:eastAsia="Times New Roman" w:cstheme="minorHAnsi"/>
                <w:kern w:val="24"/>
                <w:sz w:val="18"/>
                <w:szCs w:val="18"/>
                <w:vertAlign w:val="superscript"/>
                <w:lang w:eastAsia="zh-CN"/>
              </w:rPr>
              <w:t>st</w:t>
            </w:r>
            <w:r>
              <w:rPr>
                <w:rFonts w:eastAsia="Times New Roman" w:cstheme="minorHAnsi"/>
                <w:kern w:val="24"/>
                <w:sz w:val="18"/>
                <w:szCs w:val="18"/>
                <w:lang w:eastAsia="zh-CN"/>
              </w:rPr>
              <w:t xml:space="preserve"> March 2027</w:t>
            </w:r>
          </w:p>
        </w:tc>
        <w:tc>
          <w:tcPr>
            <w:tcW w:w="2537" w:type="dxa"/>
            <w:vAlign w:val="center"/>
          </w:tcPr>
          <w:p w14:paraId="5AB3F0C8" w14:textId="145B2754" w:rsidR="0090402B" w:rsidRPr="00AF2AFB" w:rsidRDefault="0090402B" w:rsidP="006E210B">
            <w:pPr>
              <w:spacing w:after="0" w:line="276" w:lineRule="auto"/>
              <w:ind w:left="-150" w:firstLine="150"/>
              <w:jc w:val="center"/>
              <w:rPr>
                <w:rFonts w:eastAsia="Times New Roman" w:cstheme="minorHAnsi"/>
                <w:kern w:val="24"/>
                <w:sz w:val="18"/>
                <w:szCs w:val="18"/>
                <w:lang w:eastAsia="zh-CN"/>
              </w:rPr>
            </w:pPr>
            <w:r>
              <w:rPr>
                <w:rFonts w:eastAsia="Times New Roman" w:cstheme="minorHAnsi"/>
                <w:kern w:val="24"/>
                <w:sz w:val="18"/>
                <w:szCs w:val="18"/>
                <w:lang w:eastAsia="zh-CN"/>
              </w:rPr>
              <w:t>20-70 consecutive deaths within the audit period</w:t>
            </w:r>
          </w:p>
        </w:tc>
        <w:tc>
          <w:tcPr>
            <w:tcW w:w="1849" w:type="dxa"/>
            <w:vMerge w:val="restart"/>
            <w:tcMar>
              <w:top w:w="15" w:type="dxa"/>
              <w:left w:w="69" w:type="dxa"/>
              <w:bottom w:w="0" w:type="dxa"/>
              <w:right w:w="69" w:type="dxa"/>
            </w:tcMar>
            <w:vAlign w:val="center"/>
            <w:hideMark/>
          </w:tcPr>
          <w:p w14:paraId="44292137" w14:textId="69D83B53" w:rsidR="0090402B" w:rsidRPr="00AA58D8" w:rsidRDefault="0090402B" w:rsidP="006E210B">
            <w:pPr>
              <w:spacing w:after="0" w:line="276" w:lineRule="auto"/>
              <w:jc w:val="center"/>
              <w:rPr>
                <w:rFonts w:eastAsia="Times New Roman" w:cstheme="minorHAnsi"/>
                <w:sz w:val="18"/>
                <w:szCs w:val="18"/>
                <w:lang w:eastAsia="zh-CN"/>
              </w:rPr>
            </w:pPr>
            <w:r>
              <w:rPr>
                <w:rFonts w:eastAsia="Times New Roman" w:cstheme="minorHAnsi"/>
                <w:kern w:val="24"/>
                <w:sz w:val="18"/>
                <w:szCs w:val="18"/>
                <w:lang w:eastAsia="zh-CN"/>
              </w:rPr>
              <w:t>Live from 1</w:t>
            </w:r>
            <w:r>
              <w:rPr>
                <w:rFonts w:eastAsia="Times New Roman" w:cstheme="minorHAnsi"/>
                <w:kern w:val="24"/>
                <w:sz w:val="18"/>
                <w:szCs w:val="18"/>
                <w:vertAlign w:val="superscript"/>
                <w:lang w:eastAsia="zh-CN"/>
              </w:rPr>
              <w:t>st</w:t>
            </w:r>
            <w:r>
              <w:rPr>
                <w:rFonts w:eastAsia="Times New Roman" w:cstheme="minorHAnsi"/>
                <w:kern w:val="24"/>
                <w:sz w:val="18"/>
                <w:szCs w:val="18"/>
                <w:lang w:eastAsia="zh-CN"/>
              </w:rPr>
              <w:t xml:space="preserve"> April 2027</w:t>
            </w:r>
          </w:p>
        </w:tc>
      </w:tr>
      <w:tr w:rsidR="0090402B" w:rsidRPr="00AF2AFB" w14:paraId="486445EB" w14:textId="77777777">
        <w:trPr>
          <w:trHeight w:val="55"/>
        </w:trPr>
        <w:tc>
          <w:tcPr>
            <w:tcW w:w="1837" w:type="dxa"/>
            <w:vMerge/>
            <w:tcMar>
              <w:top w:w="15" w:type="dxa"/>
              <w:left w:w="69" w:type="dxa"/>
              <w:bottom w:w="0" w:type="dxa"/>
              <w:right w:w="69" w:type="dxa"/>
            </w:tcMar>
            <w:vAlign w:val="center"/>
          </w:tcPr>
          <w:p w14:paraId="1565DCC3" w14:textId="77777777" w:rsidR="0090402B" w:rsidRPr="00AF2AFB" w:rsidRDefault="0090402B" w:rsidP="006E210B">
            <w:pPr>
              <w:spacing w:after="0" w:line="276" w:lineRule="auto"/>
              <w:jc w:val="center"/>
              <w:rPr>
                <w:rFonts w:eastAsia="Times New Roman" w:cstheme="minorHAnsi"/>
                <w:kern w:val="24"/>
                <w:sz w:val="18"/>
                <w:szCs w:val="18"/>
                <w:lang w:eastAsia="zh-CN"/>
              </w:rPr>
            </w:pPr>
          </w:p>
        </w:tc>
        <w:tc>
          <w:tcPr>
            <w:tcW w:w="3266" w:type="dxa"/>
            <w:vAlign w:val="center"/>
          </w:tcPr>
          <w:p w14:paraId="7FD2F349" w14:textId="50C7D5FA" w:rsidR="0090402B" w:rsidRPr="00AF2AFB" w:rsidRDefault="0090402B" w:rsidP="006E210B">
            <w:pPr>
              <w:spacing w:after="0" w:line="276" w:lineRule="auto"/>
              <w:jc w:val="center"/>
              <w:rPr>
                <w:rFonts w:eastAsia="Times New Roman" w:cstheme="minorHAnsi"/>
                <w:sz w:val="18"/>
                <w:szCs w:val="18"/>
                <w:lang w:eastAsia="zh-CN"/>
              </w:rPr>
            </w:pPr>
            <w:r>
              <w:rPr>
                <w:rFonts w:eastAsia="Times New Roman" w:cstheme="minorHAnsi"/>
                <w:b/>
                <w:bCs/>
                <w:kern w:val="24"/>
                <w:sz w:val="18"/>
                <w:szCs w:val="18"/>
                <w:lang w:eastAsia="zh-CN"/>
              </w:rPr>
              <w:t>Q1</w:t>
            </w:r>
            <w:r>
              <w:rPr>
                <w:rFonts w:eastAsia="Times New Roman" w:cstheme="minorHAnsi"/>
                <w:kern w:val="24"/>
                <w:sz w:val="18"/>
                <w:szCs w:val="18"/>
                <w:lang w:eastAsia="zh-CN"/>
              </w:rPr>
              <w:t>: 1</w:t>
            </w:r>
            <w:r>
              <w:rPr>
                <w:rFonts w:eastAsia="Times New Roman" w:cstheme="minorHAnsi"/>
                <w:kern w:val="24"/>
                <w:sz w:val="18"/>
                <w:szCs w:val="18"/>
                <w:vertAlign w:val="superscript"/>
                <w:lang w:eastAsia="zh-CN"/>
              </w:rPr>
              <w:t>st</w:t>
            </w:r>
            <w:r>
              <w:rPr>
                <w:rFonts w:eastAsia="Times New Roman" w:cstheme="minorHAnsi"/>
                <w:kern w:val="24"/>
                <w:sz w:val="18"/>
                <w:szCs w:val="18"/>
                <w:lang w:eastAsia="zh-CN"/>
              </w:rPr>
              <w:t xml:space="preserve"> April – 30</w:t>
            </w:r>
            <w:r>
              <w:rPr>
                <w:rFonts w:eastAsia="Times New Roman" w:cstheme="minorHAnsi"/>
                <w:kern w:val="24"/>
                <w:sz w:val="18"/>
                <w:szCs w:val="18"/>
                <w:vertAlign w:val="superscript"/>
                <w:lang w:eastAsia="zh-CN"/>
              </w:rPr>
              <w:t>th</w:t>
            </w:r>
            <w:r>
              <w:rPr>
                <w:rFonts w:eastAsia="Times New Roman" w:cstheme="minorHAnsi"/>
                <w:kern w:val="24"/>
                <w:sz w:val="18"/>
                <w:szCs w:val="18"/>
                <w:lang w:eastAsia="zh-CN"/>
              </w:rPr>
              <w:t xml:space="preserve"> June 2027</w:t>
            </w:r>
          </w:p>
        </w:tc>
        <w:tc>
          <w:tcPr>
            <w:tcW w:w="2537" w:type="dxa"/>
            <w:vAlign w:val="center"/>
          </w:tcPr>
          <w:p w14:paraId="5ACC3E8A" w14:textId="080086D4" w:rsidR="0090402B" w:rsidRPr="00AF2AFB" w:rsidRDefault="0090402B" w:rsidP="006E210B">
            <w:pPr>
              <w:spacing w:after="0" w:line="276" w:lineRule="auto"/>
              <w:ind w:left="-150" w:firstLine="150"/>
              <w:jc w:val="center"/>
              <w:rPr>
                <w:rFonts w:eastAsia="Times New Roman" w:cstheme="minorHAnsi"/>
                <w:kern w:val="24"/>
                <w:sz w:val="18"/>
                <w:szCs w:val="18"/>
                <w:lang w:eastAsia="zh-CN"/>
              </w:rPr>
            </w:pPr>
            <w:r>
              <w:rPr>
                <w:rFonts w:eastAsia="Times New Roman" w:cstheme="minorHAnsi"/>
                <w:kern w:val="24"/>
                <w:sz w:val="18"/>
                <w:szCs w:val="18"/>
                <w:lang w:eastAsia="zh-CN"/>
              </w:rPr>
              <w:t>20-70 consecutive deaths within the audit period</w:t>
            </w:r>
          </w:p>
        </w:tc>
        <w:tc>
          <w:tcPr>
            <w:tcW w:w="1849" w:type="dxa"/>
            <w:vMerge/>
            <w:tcMar>
              <w:top w:w="15" w:type="dxa"/>
              <w:left w:w="69" w:type="dxa"/>
              <w:bottom w:w="0" w:type="dxa"/>
              <w:right w:w="69" w:type="dxa"/>
            </w:tcMar>
            <w:vAlign w:val="center"/>
          </w:tcPr>
          <w:p w14:paraId="68881A42" w14:textId="5EE20308" w:rsidR="0090402B" w:rsidRPr="00AF2AFB" w:rsidRDefault="0090402B" w:rsidP="006E210B">
            <w:pPr>
              <w:spacing w:after="0" w:line="276" w:lineRule="auto"/>
              <w:jc w:val="center"/>
              <w:rPr>
                <w:rFonts w:eastAsia="Times New Roman" w:cstheme="minorHAnsi"/>
                <w:kern w:val="24"/>
                <w:sz w:val="20"/>
                <w:szCs w:val="20"/>
                <w:highlight w:val="yellow"/>
                <w:lang w:eastAsia="zh-CN"/>
              </w:rPr>
            </w:pPr>
          </w:p>
        </w:tc>
      </w:tr>
      <w:tr w:rsidR="0090402B" w:rsidRPr="00AF2AFB" w14:paraId="7421AEC3" w14:textId="77777777">
        <w:trPr>
          <w:trHeight w:val="55"/>
        </w:trPr>
        <w:tc>
          <w:tcPr>
            <w:tcW w:w="1837" w:type="dxa"/>
            <w:vMerge w:val="restart"/>
            <w:tcMar>
              <w:top w:w="15" w:type="dxa"/>
              <w:left w:w="69" w:type="dxa"/>
              <w:bottom w:w="0" w:type="dxa"/>
              <w:right w:w="69" w:type="dxa"/>
            </w:tcMar>
            <w:vAlign w:val="center"/>
            <w:hideMark/>
          </w:tcPr>
          <w:p w14:paraId="49DB3072" w14:textId="33DA4B34" w:rsidR="0090402B" w:rsidRPr="00AF2AFB" w:rsidRDefault="0090402B" w:rsidP="006E210B">
            <w:pPr>
              <w:spacing w:after="0" w:line="276" w:lineRule="auto"/>
              <w:jc w:val="center"/>
              <w:rPr>
                <w:rFonts w:eastAsia="Times New Roman" w:cstheme="minorHAnsi"/>
                <w:sz w:val="18"/>
                <w:szCs w:val="18"/>
                <w:lang w:eastAsia="zh-CN"/>
              </w:rPr>
            </w:pPr>
            <w:r>
              <w:rPr>
                <w:rFonts w:eastAsia="Times New Roman" w:cstheme="minorHAnsi"/>
                <w:kern w:val="24"/>
                <w:sz w:val="18"/>
                <w:szCs w:val="18"/>
                <w:lang w:eastAsia="zh-CN"/>
              </w:rPr>
              <w:t>1</w:t>
            </w:r>
            <w:r>
              <w:rPr>
                <w:rFonts w:eastAsia="Times New Roman" w:cstheme="minorHAnsi"/>
                <w:kern w:val="24"/>
                <w:sz w:val="18"/>
                <w:szCs w:val="18"/>
                <w:vertAlign w:val="superscript"/>
                <w:lang w:eastAsia="zh-CN"/>
              </w:rPr>
              <w:t>st</w:t>
            </w:r>
            <w:r>
              <w:rPr>
                <w:rFonts w:eastAsia="Times New Roman" w:cstheme="minorHAnsi"/>
                <w:kern w:val="24"/>
                <w:sz w:val="18"/>
                <w:szCs w:val="18"/>
                <w:lang w:eastAsia="zh-CN"/>
              </w:rPr>
              <w:t xml:space="preserve"> July 2027 – 14</w:t>
            </w:r>
            <w:r>
              <w:rPr>
                <w:rFonts w:eastAsia="Times New Roman" w:cstheme="minorHAnsi"/>
                <w:kern w:val="24"/>
                <w:sz w:val="18"/>
                <w:szCs w:val="18"/>
                <w:vertAlign w:val="superscript"/>
                <w:lang w:eastAsia="zh-CN"/>
              </w:rPr>
              <w:t>th</w:t>
            </w:r>
            <w:r>
              <w:rPr>
                <w:rFonts w:eastAsia="Times New Roman" w:cstheme="minorHAnsi"/>
                <w:kern w:val="24"/>
                <w:sz w:val="18"/>
                <w:szCs w:val="18"/>
                <w:lang w:eastAsia="zh-CN"/>
              </w:rPr>
              <w:t xml:space="preserve"> January 2028</w:t>
            </w:r>
          </w:p>
        </w:tc>
        <w:tc>
          <w:tcPr>
            <w:tcW w:w="3266" w:type="dxa"/>
            <w:vAlign w:val="center"/>
          </w:tcPr>
          <w:p w14:paraId="78DE6AB7" w14:textId="53E4B888" w:rsidR="0090402B" w:rsidRPr="00AF2AFB" w:rsidRDefault="0090402B" w:rsidP="006E210B">
            <w:pPr>
              <w:spacing w:after="0" w:line="276" w:lineRule="auto"/>
              <w:jc w:val="center"/>
              <w:rPr>
                <w:rFonts w:eastAsia="Times New Roman" w:cstheme="minorHAnsi"/>
                <w:sz w:val="18"/>
                <w:szCs w:val="18"/>
                <w:lang w:eastAsia="zh-CN"/>
              </w:rPr>
            </w:pPr>
            <w:r>
              <w:rPr>
                <w:rFonts w:eastAsia="Times New Roman" w:cstheme="minorHAnsi"/>
                <w:b/>
                <w:bCs/>
                <w:kern w:val="24"/>
                <w:sz w:val="18"/>
                <w:szCs w:val="18"/>
                <w:lang w:eastAsia="zh-CN"/>
              </w:rPr>
              <w:t>Q2</w:t>
            </w:r>
            <w:r>
              <w:rPr>
                <w:rFonts w:eastAsia="Times New Roman" w:cstheme="minorHAnsi"/>
                <w:kern w:val="24"/>
                <w:sz w:val="18"/>
                <w:szCs w:val="18"/>
                <w:lang w:eastAsia="zh-CN"/>
              </w:rPr>
              <w:t>: 1</w:t>
            </w:r>
            <w:r>
              <w:rPr>
                <w:rFonts w:eastAsia="Times New Roman" w:cstheme="minorHAnsi"/>
                <w:kern w:val="24"/>
                <w:sz w:val="18"/>
                <w:szCs w:val="18"/>
                <w:vertAlign w:val="superscript"/>
                <w:lang w:eastAsia="zh-CN"/>
              </w:rPr>
              <w:t>st</w:t>
            </w:r>
            <w:r>
              <w:rPr>
                <w:rFonts w:eastAsia="Times New Roman" w:cstheme="minorHAnsi"/>
                <w:kern w:val="24"/>
                <w:sz w:val="18"/>
                <w:szCs w:val="18"/>
                <w:lang w:eastAsia="zh-CN"/>
              </w:rPr>
              <w:t xml:space="preserve"> July – 30</w:t>
            </w:r>
            <w:r>
              <w:rPr>
                <w:rFonts w:eastAsia="Times New Roman" w:cstheme="minorHAnsi"/>
                <w:kern w:val="24"/>
                <w:sz w:val="18"/>
                <w:szCs w:val="18"/>
                <w:vertAlign w:val="superscript"/>
                <w:lang w:eastAsia="zh-CN"/>
              </w:rPr>
              <w:t>th</w:t>
            </w:r>
            <w:r>
              <w:rPr>
                <w:rFonts w:eastAsia="Times New Roman" w:cstheme="minorHAnsi"/>
                <w:kern w:val="24"/>
                <w:sz w:val="18"/>
                <w:szCs w:val="18"/>
                <w:lang w:eastAsia="zh-CN"/>
              </w:rPr>
              <w:t xml:space="preserve"> September 2027</w:t>
            </w:r>
          </w:p>
        </w:tc>
        <w:tc>
          <w:tcPr>
            <w:tcW w:w="2537" w:type="dxa"/>
            <w:vAlign w:val="center"/>
          </w:tcPr>
          <w:p w14:paraId="07B0DE81" w14:textId="1741272B" w:rsidR="0090402B" w:rsidRPr="00AF2AFB" w:rsidRDefault="0090402B" w:rsidP="006E210B">
            <w:pPr>
              <w:spacing w:after="0" w:line="276" w:lineRule="auto"/>
              <w:ind w:left="-150" w:firstLine="150"/>
              <w:jc w:val="center"/>
              <w:rPr>
                <w:rFonts w:eastAsia="Times New Roman" w:cstheme="minorHAnsi"/>
                <w:kern w:val="24"/>
                <w:sz w:val="18"/>
                <w:szCs w:val="18"/>
                <w:lang w:eastAsia="zh-CN"/>
              </w:rPr>
            </w:pPr>
            <w:r>
              <w:rPr>
                <w:rFonts w:eastAsia="Times New Roman" w:cstheme="minorHAnsi"/>
                <w:kern w:val="24"/>
                <w:sz w:val="18"/>
                <w:szCs w:val="18"/>
                <w:lang w:eastAsia="zh-CN"/>
              </w:rPr>
              <w:t>20-70 consecutive deaths within the audit period</w:t>
            </w:r>
          </w:p>
        </w:tc>
        <w:tc>
          <w:tcPr>
            <w:tcW w:w="1849" w:type="dxa"/>
            <w:vMerge/>
            <w:tcMar>
              <w:top w:w="15" w:type="dxa"/>
              <w:left w:w="69" w:type="dxa"/>
              <w:bottom w:w="0" w:type="dxa"/>
              <w:right w:w="69" w:type="dxa"/>
            </w:tcMar>
            <w:vAlign w:val="center"/>
            <w:hideMark/>
          </w:tcPr>
          <w:p w14:paraId="27549D42" w14:textId="14EF1203" w:rsidR="0090402B" w:rsidRPr="00AF2AFB" w:rsidRDefault="0090402B" w:rsidP="006E210B">
            <w:pPr>
              <w:spacing w:after="0" w:line="276" w:lineRule="auto"/>
              <w:jc w:val="center"/>
              <w:rPr>
                <w:rFonts w:eastAsia="Times New Roman" w:cstheme="minorHAnsi"/>
                <w:sz w:val="20"/>
                <w:szCs w:val="20"/>
                <w:highlight w:val="yellow"/>
                <w:lang w:eastAsia="zh-CN"/>
              </w:rPr>
            </w:pPr>
          </w:p>
        </w:tc>
      </w:tr>
      <w:tr w:rsidR="0090402B" w:rsidRPr="00AF2AFB" w14:paraId="1CC2EBBB" w14:textId="77777777">
        <w:trPr>
          <w:trHeight w:val="55"/>
        </w:trPr>
        <w:tc>
          <w:tcPr>
            <w:tcW w:w="1837" w:type="dxa"/>
            <w:vMerge/>
            <w:tcMar>
              <w:top w:w="15" w:type="dxa"/>
              <w:left w:w="69" w:type="dxa"/>
              <w:bottom w:w="0" w:type="dxa"/>
              <w:right w:w="69" w:type="dxa"/>
            </w:tcMar>
            <w:vAlign w:val="center"/>
          </w:tcPr>
          <w:p w14:paraId="4B3A5B1C" w14:textId="77777777" w:rsidR="0090402B" w:rsidRPr="00AF2AFB" w:rsidRDefault="0090402B" w:rsidP="006E210B">
            <w:pPr>
              <w:spacing w:after="0" w:line="276" w:lineRule="auto"/>
              <w:jc w:val="center"/>
              <w:rPr>
                <w:rFonts w:eastAsia="Times New Roman" w:cstheme="minorHAnsi"/>
                <w:kern w:val="24"/>
                <w:sz w:val="18"/>
                <w:szCs w:val="18"/>
                <w:lang w:eastAsia="zh-CN"/>
              </w:rPr>
            </w:pPr>
          </w:p>
        </w:tc>
        <w:tc>
          <w:tcPr>
            <w:tcW w:w="3266" w:type="dxa"/>
            <w:vAlign w:val="center"/>
          </w:tcPr>
          <w:p w14:paraId="18C62D25" w14:textId="696811C3" w:rsidR="0090402B" w:rsidRPr="00AF2AFB" w:rsidRDefault="0090402B" w:rsidP="006E210B">
            <w:pPr>
              <w:spacing w:after="0" w:line="276" w:lineRule="auto"/>
              <w:jc w:val="center"/>
              <w:rPr>
                <w:rFonts w:eastAsia="Times New Roman" w:cstheme="minorHAnsi"/>
                <w:sz w:val="18"/>
                <w:szCs w:val="18"/>
                <w:lang w:eastAsia="zh-CN"/>
              </w:rPr>
            </w:pPr>
            <w:r>
              <w:rPr>
                <w:rFonts w:eastAsia="Times New Roman" w:cstheme="minorHAnsi"/>
                <w:b/>
                <w:bCs/>
                <w:kern w:val="24"/>
                <w:sz w:val="18"/>
                <w:szCs w:val="18"/>
                <w:lang w:eastAsia="zh-CN"/>
              </w:rPr>
              <w:t>Q3</w:t>
            </w:r>
            <w:r>
              <w:rPr>
                <w:rFonts w:eastAsia="Times New Roman" w:cstheme="minorHAnsi"/>
                <w:kern w:val="24"/>
                <w:sz w:val="18"/>
                <w:szCs w:val="18"/>
                <w:lang w:eastAsia="zh-CN"/>
              </w:rPr>
              <w:t>: 1</w:t>
            </w:r>
            <w:r>
              <w:rPr>
                <w:rFonts w:eastAsia="Times New Roman" w:cstheme="minorHAnsi"/>
                <w:kern w:val="24"/>
                <w:sz w:val="18"/>
                <w:szCs w:val="18"/>
                <w:vertAlign w:val="superscript"/>
                <w:lang w:eastAsia="zh-CN"/>
              </w:rPr>
              <w:t>st</w:t>
            </w:r>
            <w:r>
              <w:rPr>
                <w:rFonts w:eastAsia="Times New Roman" w:cstheme="minorHAnsi"/>
                <w:kern w:val="24"/>
                <w:sz w:val="18"/>
                <w:szCs w:val="18"/>
                <w:lang w:eastAsia="zh-CN"/>
              </w:rPr>
              <w:t xml:space="preserve"> October – 31</w:t>
            </w:r>
            <w:r>
              <w:rPr>
                <w:rFonts w:eastAsia="Times New Roman" w:cstheme="minorHAnsi"/>
                <w:kern w:val="24"/>
                <w:sz w:val="18"/>
                <w:szCs w:val="18"/>
                <w:vertAlign w:val="superscript"/>
                <w:lang w:eastAsia="zh-CN"/>
              </w:rPr>
              <w:t>st</w:t>
            </w:r>
            <w:r>
              <w:rPr>
                <w:rFonts w:eastAsia="Times New Roman" w:cstheme="minorHAnsi"/>
                <w:kern w:val="24"/>
                <w:sz w:val="18"/>
                <w:szCs w:val="18"/>
                <w:lang w:eastAsia="zh-CN"/>
              </w:rPr>
              <w:t xml:space="preserve"> December 2027</w:t>
            </w:r>
          </w:p>
        </w:tc>
        <w:tc>
          <w:tcPr>
            <w:tcW w:w="2537" w:type="dxa"/>
            <w:vAlign w:val="center"/>
          </w:tcPr>
          <w:p w14:paraId="05BEB478" w14:textId="39886048" w:rsidR="0090402B" w:rsidRPr="00AF2AFB" w:rsidRDefault="0090402B" w:rsidP="006E210B">
            <w:pPr>
              <w:spacing w:after="0" w:line="276" w:lineRule="auto"/>
              <w:ind w:left="-150" w:firstLine="150"/>
              <w:jc w:val="center"/>
              <w:rPr>
                <w:rFonts w:eastAsia="Times New Roman" w:cstheme="minorHAnsi"/>
                <w:kern w:val="24"/>
                <w:sz w:val="18"/>
                <w:szCs w:val="18"/>
                <w:lang w:eastAsia="zh-CN"/>
              </w:rPr>
            </w:pPr>
            <w:r>
              <w:rPr>
                <w:rFonts w:eastAsia="Times New Roman" w:cstheme="minorHAnsi"/>
                <w:kern w:val="24"/>
                <w:sz w:val="18"/>
                <w:szCs w:val="18"/>
                <w:lang w:eastAsia="zh-CN"/>
              </w:rPr>
              <w:t>20-70 consecutive deaths within the audit period</w:t>
            </w:r>
          </w:p>
        </w:tc>
        <w:tc>
          <w:tcPr>
            <w:tcW w:w="1849" w:type="dxa"/>
            <w:vMerge/>
            <w:tcMar>
              <w:top w:w="15" w:type="dxa"/>
              <w:left w:w="69" w:type="dxa"/>
              <w:bottom w:w="0" w:type="dxa"/>
              <w:right w:w="69" w:type="dxa"/>
            </w:tcMar>
            <w:vAlign w:val="center"/>
          </w:tcPr>
          <w:p w14:paraId="001E12C6" w14:textId="77777777" w:rsidR="0090402B" w:rsidRPr="00AF2AFB" w:rsidRDefault="0090402B" w:rsidP="006E210B">
            <w:pPr>
              <w:spacing w:after="0" w:line="276" w:lineRule="auto"/>
              <w:ind w:left="274"/>
              <w:jc w:val="center"/>
              <w:rPr>
                <w:rFonts w:eastAsia="Times New Roman" w:cstheme="minorHAnsi"/>
                <w:kern w:val="24"/>
                <w:sz w:val="20"/>
                <w:szCs w:val="20"/>
                <w:lang w:eastAsia="zh-CN"/>
              </w:rPr>
            </w:pPr>
          </w:p>
        </w:tc>
      </w:tr>
    </w:tbl>
    <w:p w14:paraId="23BE79AE" w14:textId="77777777" w:rsidR="003F49DC" w:rsidRDefault="003F49DC" w:rsidP="006E210B">
      <w:pPr>
        <w:spacing w:line="276" w:lineRule="auto"/>
        <w:rPr>
          <w:rFonts w:cstheme="minorHAnsi"/>
          <w:b/>
          <w:bCs/>
        </w:rPr>
      </w:pPr>
    </w:p>
    <w:p w14:paraId="2AA7340D" w14:textId="246DCF82" w:rsidR="006C474F" w:rsidRPr="00AF2AFB" w:rsidRDefault="006C474F" w:rsidP="006E210B">
      <w:pPr>
        <w:spacing w:line="276" w:lineRule="auto"/>
        <w:rPr>
          <w:rFonts w:cstheme="minorHAnsi"/>
          <w:b/>
          <w:bCs/>
        </w:rPr>
      </w:pPr>
      <w:r>
        <w:rPr>
          <w:rFonts w:cstheme="minorHAnsi"/>
          <w:b/>
          <w:bCs/>
        </w:rPr>
        <w:t>Guidance on the margin of error</w:t>
      </w:r>
    </w:p>
    <w:p w14:paraId="6B84AB50" w14:textId="0E590207" w:rsidR="006C474F" w:rsidRPr="00AF2AFB" w:rsidRDefault="006C474F" w:rsidP="006E210B">
      <w:pPr>
        <w:spacing w:line="276" w:lineRule="auto"/>
        <w:rPr>
          <w:rFonts w:cstheme="minorHAnsi"/>
        </w:rPr>
      </w:pPr>
      <w:r>
        <w:rPr>
          <w:rFonts w:cstheme="minorHAnsi"/>
        </w:rPr>
        <w:t>A larger sample size increases how representative the sample is of the population overall. As a larger sample is more likely to be closer to the true population, the margin of error is reduced. A smaller margin of error is preferred as it means the survey’s results are more precise and accurate. Therefore, the results are more robust and actionable to inform quality improvement efforts.</w:t>
      </w:r>
    </w:p>
    <w:p w14:paraId="5BAD1F09" w14:textId="0598BB69" w:rsidR="006C474F" w:rsidRPr="00AF2AFB" w:rsidRDefault="006C474F" w:rsidP="006E210B">
      <w:pPr>
        <w:spacing w:line="276" w:lineRule="auto"/>
        <w:rPr>
          <w:rFonts w:cstheme="minorHAnsi"/>
        </w:rPr>
      </w:pPr>
      <w:r>
        <w:rPr>
          <w:rFonts w:cstheme="minorHAnsi"/>
        </w:rPr>
        <w:t>A smaller, less representative sample size increases the margin of error.</w:t>
      </w:r>
    </w:p>
    <w:p w14:paraId="1B8C8998" w14:textId="28283F39" w:rsidR="006C474F" w:rsidRDefault="006C474F" w:rsidP="006E210B">
      <w:pPr>
        <w:spacing w:line="276" w:lineRule="auto"/>
        <w:rPr>
          <w:rFonts w:cstheme="minorHAnsi"/>
        </w:rPr>
      </w:pPr>
      <w:r>
        <w:rPr>
          <w:rFonts w:cstheme="minorHAnsi"/>
        </w:rPr>
        <w:t>Hospital/sites with a higher volume of deaths per annum should consider auditing and submitting a higher number of Case Note Reviews.</w:t>
      </w:r>
    </w:p>
    <w:p w14:paraId="79874037" w14:textId="68729C25" w:rsidR="006C474F" w:rsidRPr="00424980" w:rsidRDefault="006C474F" w:rsidP="006E210B">
      <w:pPr>
        <w:spacing w:line="276" w:lineRule="auto"/>
        <w:rPr>
          <w:b/>
          <w:bCs/>
        </w:rPr>
      </w:pPr>
      <w:r>
        <w:rPr>
          <w:b/>
          <w:bCs/>
        </w:rPr>
        <w:t>Eligibility</w:t>
      </w:r>
    </w:p>
    <w:p w14:paraId="54B7806E" w14:textId="77777777" w:rsidR="006C474F" w:rsidRPr="00AF2AFB" w:rsidRDefault="006C474F" w:rsidP="006E210B">
      <w:pPr>
        <w:spacing w:line="276" w:lineRule="auto"/>
        <w:rPr>
          <w:rFonts w:cstheme="minorHAnsi"/>
        </w:rPr>
      </w:pPr>
      <w:r>
        <w:rPr>
          <w:rFonts w:cstheme="minorHAnsi"/>
        </w:rPr>
        <w:t xml:space="preserve">Please use the following criteria to identify eligible deaths: </w:t>
      </w:r>
    </w:p>
    <w:p w14:paraId="1EC6DEF2" w14:textId="77777777" w:rsidR="006C474F" w:rsidRPr="00AF2AFB" w:rsidRDefault="006C474F" w:rsidP="006E210B">
      <w:pPr>
        <w:spacing w:line="276" w:lineRule="auto"/>
        <w:rPr>
          <w:rFonts w:cstheme="minorHAnsi"/>
          <w:b/>
        </w:rPr>
      </w:pPr>
      <w:bookmarkStart w:id="20" w:name="_Hlk59019060"/>
      <w:bookmarkEnd w:id="19"/>
      <w:r>
        <w:rPr>
          <w:rFonts w:cstheme="minorHAnsi"/>
          <w:b/>
        </w:rPr>
        <w:t>Inclusion criteria:</w:t>
      </w:r>
    </w:p>
    <w:p w14:paraId="3E38B8FC" w14:textId="77777777" w:rsidR="003D130C" w:rsidRPr="003D130C" w:rsidRDefault="006C474F" w:rsidP="006E210B">
      <w:pPr>
        <w:spacing w:line="276" w:lineRule="auto"/>
        <w:rPr>
          <w:rFonts w:cstheme="minorHAnsi"/>
        </w:rPr>
      </w:pPr>
      <w:r>
        <w:rPr>
          <w:rFonts w:cstheme="minorHAnsi"/>
        </w:rPr>
        <w:t xml:space="preserve">Adult (18+) inpatient deaths in either category: </w:t>
      </w:r>
    </w:p>
    <w:p w14:paraId="11ACBB8E" w14:textId="5CC17A64" w:rsidR="00C878DA" w:rsidRPr="008E435C" w:rsidRDefault="00C878DA" w:rsidP="006E210B">
      <w:pPr>
        <w:pStyle w:val="ListParagraph"/>
        <w:numPr>
          <w:ilvl w:val="0"/>
          <w:numId w:val="6"/>
        </w:numPr>
        <w:spacing w:line="276" w:lineRule="auto"/>
        <w:ind w:left="426" w:hanging="284"/>
        <w:rPr>
          <w:rFonts w:cstheme="minorHAnsi"/>
        </w:rPr>
      </w:pPr>
      <w:r>
        <w:rPr>
          <w:rFonts w:cstheme="minorHAnsi"/>
          <w:b/>
          <w:bCs/>
        </w:rPr>
        <w:lastRenderedPageBreak/>
        <w:t xml:space="preserve">Category 1. </w:t>
      </w:r>
      <w:r>
        <w:rPr>
          <w:rFonts w:cstheme="minorHAnsi"/>
        </w:rPr>
        <w:t>It was expected that the patient would die during their final admission in hospital. Life sustaining treatments may still be being offered in parallel to end of life care.</w:t>
      </w:r>
    </w:p>
    <w:p w14:paraId="4174F914" w14:textId="64404BE7" w:rsidR="006C474F" w:rsidRDefault="006C474F" w:rsidP="006E210B">
      <w:pPr>
        <w:pStyle w:val="ListParagraph"/>
        <w:numPr>
          <w:ilvl w:val="0"/>
          <w:numId w:val="6"/>
        </w:numPr>
        <w:spacing w:line="276" w:lineRule="auto"/>
        <w:ind w:left="426" w:hanging="284"/>
        <w:rPr>
          <w:rFonts w:cstheme="minorHAnsi"/>
        </w:rPr>
      </w:pPr>
      <w:r>
        <w:rPr>
          <w:rFonts w:cstheme="minorHAnsi"/>
          <w:b/>
          <w:bCs/>
        </w:rPr>
        <w:t xml:space="preserve">Category 2: </w:t>
      </w:r>
      <w:r>
        <w:rPr>
          <w:rFonts w:cstheme="minorHAnsi"/>
        </w:rPr>
        <w:t>It was not expected that the patient would die during their final admission in hospital - imminent death was not recognised or expected by the hospital staff. However, the patient may have had a life limiting condition or, for example, be frail, so that whilst death wasn't recognised as being imminent, hospital staff were "not surprised" that the patient died.</w:t>
      </w:r>
    </w:p>
    <w:p w14:paraId="5DD73B65" w14:textId="77777777" w:rsidR="00354753" w:rsidRDefault="00881F75">
      <w:pPr>
        <w:spacing w:line="276" w:lineRule="auto"/>
      </w:pPr>
      <w:r>
        <w:t>Deaths in specialist palliative care beds that are fully managed and funded by the NHS should be included. Deaths in hospices (NHS and non-NHS) are excluded.</w:t>
      </w:r>
    </w:p>
    <w:p w14:paraId="37315BB5" w14:textId="77777777" w:rsidR="00354753" w:rsidRDefault="00881F75">
      <w:pPr>
        <w:spacing w:line="276" w:lineRule="auto"/>
      </w:pPr>
      <w:r>
        <w:t>Deaths of people with a formal diagnosis of learning disability are included in NACEL 2027.</w:t>
      </w:r>
    </w:p>
    <w:p w14:paraId="7B97F1BD" w14:textId="77777777" w:rsidR="00354753" w:rsidRDefault="00881F75">
      <w:pPr>
        <w:spacing w:line="276" w:lineRule="auto"/>
      </w:pPr>
      <w:r>
        <w:t xml:space="preserve">The data specification lists SNOMED codes for deaths to include and exclude. These lists are not </w:t>
      </w:r>
      <w:proofErr w:type="gramStart"/>
      <w:r>
        <w:t>exhaustive</w:t>
      </w:r>
      <w:proofErr w:type="gramEnd"/>
      <w:r>
        <w:t xml:space="preserve"> and your organisation may code differently. We recommend you work with your Business Intelligence team to identify eligible patients.</w:t>
      </w:r>
    </w:p>
    <w:p w14:paraId="52590C1C" w14:textId="609BA9D6" w:rsidR="006C474F" w:rsidRPr="00AF2AFB" w:rsidRDefault="006C474F" w:rsidP="006E210B">
      <w:pPr>
        <w:spacing w:line="276" w:lineRule="auto"/>
        <w:rPr>
          <w:rFonts w:cstheme="minorHAnsi"/>
          <w:b/>
        </w:rPr>
      </w:pPr>
      <w:bookmarkStart w:id="21" w:name="_Hlk59019073"/>
      <w:bookmarkEnd w:id="20"/>
      <w:r>
        <w:rPr>
          <w:rFonts w:cstheme="minorHAnsi"/>
          <w:b/>
        </w:rPr>
        <w:t>Exclusion criteria:</w:t>
      </w:r>
    </w:p>
    <w:p w14:paraId="3D3262D7" w14:textId="618D9C78" w:rsidR="006C474F" w:rsidRPr="00AF2AFB" w:rsidRDefault="006C474F" w:rsidP="006E210B">
      <w:pPr>
        <w:spacing w:line="276" w:lineRule="auto"/>
        <w:rPr>
          <w:rFonts w:cstheme="minorHAnsi"/>
        </w:rPr>
      </w:pPr>
      <w:r>
        <w:rPr>
          <w:rFonts w:cstheme="minorHAnsi"/>
        </w:rPr>
        <w:t>Deaths which are classed as "sudden deaths" are excluded from the Case Note Review. For NACEL, this includes deaths which are sudden and unexpected and/or occur within 4 hours of admission. This includes, but is not limited to, the following:</w:t>
      </w:r>
    </w:p>
    <w:p w14:paraId="5106B5AF" w14:textId="2C483636" w:rsidR="006C474F" w:rsidRPr="00AF2AFB" w:rsidRDefault="006C474F" w:rsidP="006E210B">
      <w:pPr>
        <w:pStyle w:val="ListParagraph"/>
        <w:numPr>
          <w:ilvl w:val="0"/>
          <w:numId w:val="2"/>
        </w:numPr>
        <w:spacing w:line="276" w:lineRule="auto"/>
        <w:ind w:left="426" w:hanging="284"/>
        <w:rPr>
          <w:rFonts w:cstheme="minorHAnsi"/>
        </w:rPr>
      </w:pPr>
      <w:r>
        <w:rPr>
          <w:rFonts w:cstheme="minorHAnsi"/>
        </w:rPr>
        <w:t>deaths within an Emergency Department (ED).</w:t>
      </w:r>
    </w:p>
    <w:p w14:paraId="0974E3C7" w14:textId="16747A00" w:rsidR="006C474F" w:rsidRPr="00AF2AFB" w:rsidRDefault="006C474F" w:rsidP="006E210B">
      <w:pPr>
        <w:pStyle w:val="ListParagraph"/>
        <w:numPr>
          <w:ilvl w:val="0"/>
          <w:numId w:val="2"/>
        </w:numPr>
        <w:spacing w:line="276" w:lineRule="auto"/>
        <w:ind w:left="426" w:hanging="284"/>
        <w:rPr>
          <w:rFonts w:cstheme="minorHAnsi"/>
        </w:rPr>
      </w:pPr>
      <w:r>
        <w:rPr>
          <w:rFonts w:cstheme="minorHAnsi"/>
        </w:rPr>
        <w:t>deaths which occurred within 4 hours of admission.</w:t>
      </w:r>
    </w:p>
    <w:p w14:paraId="6452FDAA" w14:textId="77777777" w:rsidR="006C474F" w:rsidRPr="00AF2AFB" w:rsidRDefault="006C474F" w:rsidP="006E210B">
      <w:pPr>
        <w:pStyle w:val="ListParagraph"/>
        <w:numPr>
          <w:ilvl w:val="0"/>
          <w:numId w:val="2"/>
        </w:numPr>
        <w:spacing w:line="276" w:lineRule="auto"/>
        <w:ind w:left="426" w:hanging="284"/>
        <w:rPr>
          <w:rFonts w:cstheme="minorHAnsi"/>
        </w:rPr>
      </w:pPr>
      <w:r>
        <w:rPr>
          <w:rFonts w:cstheme="minorHAnsi"/>
        </w:rPr>
        <w:t>deaths due to an acute condition caused by a sudden catastrophic event, with a full escalation of treatment plan in place.</w:t>
      </w:r>
    </w:p>
    <w:p w14:paraId="5EDA61AF" w14:textId="25442FFF" w:rsidR="006C474F" w:rsidRPr="00AF2AFB" w:rsidRDefault="00DC52EA" w:rsidP="006E210B">
      <w:pPr>
        <w:pStyle w:val="ListParagraph"/>
        <w:numPr>
          <w:ilvl w:val="0"/>
          <w:numId w:val="2"/>
        </w:numPr>
        <w:spacing w:line="276" w:lineRule="auto"/>
        <w:ind w:left="426" w:hanging="284"/>
        <w:rPr>
          <w:rFonts w:cstheme="minorHAnsi"/>
        </w:rPr>
      </w:pPr>
      <w:r>
        <w:rPr>
          <w:rFonts w:cstheme="minorHAnsi"/>
        </w:rPr>
        <w:t>Suicides.</w:t>
      </w:r>
    </w:p>
    <w:p w14:paraId="67A50DEB" w14:textId="77777777" w:rsidR="00CD4DC5" w:rsidRDefault="006C474F" w:rsidP="006E210B">
      <w:pPr>
        <w:pStyle w:val="ListParagraph"/>
        <w:numPr>
          <w:ilvl w:val="0"/>
          <w:numId w:val="2"/>
        </w:numPr>
        <w:spacing w:line="276" w:lineRule="auto"/>
        <w:ind w:left="426" w:hanging="284"/>
        <w:rPr>
          <w:rFonts w:cstheme="minorHAnsi"/>
        </w:rPr>
      </w:pPr>
      <w:r>
        <w:rPr>
          <w:rFonts w:cstheme="minorHAnsi"/>
        </w:rPr>
        <w:t>maternal deaths, as these deaths will be reviewed as part of MBRRACE.</w:t>
      </w:r>
      <w:bookmarkEnd w:id="21"/>
    </w:p>
    <w:p w14:paraId="78C53BD0" w14:textId="77777777" w:rsidR="00134A0A" w:rsidRDefault="00134A0A" w:rsidP="006E210B">
      <w:pPr>
        <w:spacing w:line="276" w:lineRule="auto"/>
        <w:rPr>
          <w:b/>
          <w:bCs/>
        </w:rPr>
      </w:pPr>
    </w:p>
    <w:p w14:paraId="1A57FAED" w14:textId="01E63D2B" w:rsidR="00BA604C" w:rsidRDefault="00BA604C" w:rsidP="006E210B">
      <w:pPr>
        <w:spacing w:line="276" w:lineRule="auto"/>
        <w:rPr>
          <w:b/>
          <w:bCs/>
        </w:rPr>
      </w:pPr>
      <w:r>
        <w:rPr>
          <w:b/>
          <w:bCs/>
        </w:rPr>
        <w:t>Coordinating the submission</w:t>
      </w:r>
    </w:p>
    <w:p w14:paraId="1DA33214" w14:textId="2684E664" w:rsidR="00D41AED" w:rsidRPr="007D48B7" w:rsidRDefault="00D41AED" w:rsidP="006E210B">
      <w:pPr>
        <w:spacing w:line="276" w:lineRule="auto"/>
        <w:rPr>
          <w:b/>
          <w:bCs/>
        </w:rPr>
      </w:pPr>
      <w:r>
        <w:rPr>
          <w:b/>
          <w:bCs/>
        </w:rPr>
        <w:t>National data opt-out:</w:t>
      </w:r>
    </w:p>
    <w:p w14:paraId="7A0174A6" w14:textId="77777777" w:rsidR="00B80EC8" w:rsidRDefault="00D41AED" w:rsidP="006E210B">
      <w:pPr>
        <w:spacing w:line="276" w:lineRule="auto"/>
        <w:rPr>
          <w:rFonts w:cstheme="minorHAnsi"/>
        </w:rPr>
      </w:pPr>
      <w:r>
        <w:rPr>
          <w:rFonts w:cstheme="minorHAnsi"/>
        </w:rPr>
        <w:t xml:space="preserve">It is the responsibility of each organisation to ensure that a review is not carried out on the case notes of individuals who opted out of their data being used for research and planning. </w:t>
      </w:r>
    </w:p>
    <w:p w14:paraId="48E60D4E" w14:textId="77777777" w:rsidR="000F3555" w:rsidRPr="00B80EC8" w:rsidRDefault="000F3555" w:rsidP="006E210B">
      <w:pPr>
        <w:numPr>
          <w:ilvl w:val="0"/>
          <w:numId w:val="23"/>
        </w:numPr>
        <w:spacing w:after="0" w:line="276" w:lineRule="auto"/>
        <w:rPr>
          <w:rFonts w:cstheme="minorHAnsi"/>
        </w:rPr>
      </w:pPr>
      <w:r>
        <w:rPr>
          <w:rFonts w:cstheme="minorHAnsi"/>
        </w:rPr>
        <w:t>Do not review cases where patients opted out of data use for research or planning (this opt-out remains after death).</w:t>
      </w:r>
    </w:p>
    <w:p w14:paraId="3C993D1B" w14:textId="77777777" w:rsidR="000F3555" w:rsidRDefault="000F3555" w:rsidP="006E210B">
      <w:pPr>
        <w:numPr>
          <w:ilvl w:val="0"/>
          <w:numId w:val="23"/>
        </w:numPr>
        <w:spacing w:after="0" w:line="276" w:lineRule="auto"/>
        <w:rPr>
          <w:rFonts w:cstheme="minorHAnsi"/>
        </w:rPr>
      </w:pPr>
      <w:r>
        <w:rPr>
          <w:rFonts w:cstheme="minorHAnsi"/>
        </w:rPr>
        <w:t xml:space="preserve">The opt-out does </w:t>
      </w:r>
      <w:r>
        <w:rPr>
          <w:rFonts w:cstheme="minorHAnsi"/>
          <w:b/>
          <w:bCs/>
        </w:rPr>
        <w:t>not</w:t>
      </w:r>
      <w:r>
        <w:rPr>
          <w:rFonts w:cstheme="minorHAnsi"/>
        </w:rPr>
        <w:t xml:space="preserve"> apply to the Bereavement Survey.</w:t>
      </w:r>
    </w:p>
    <w:p w14:paraId="0777155D" w14:textId="77777777" w:rsidR="003F49DC" w:rsidRPr="000F3555" w:rsidRDefault="003F49DC" w:rsidP="003F49DC">
      <w:pPr>
        <w:spacing w:after="0" w:line="276" w:lineRule="auto"/>
        <w:rPr>
          <w:rFonts w:cstheme="minorHAnsi"/>
        </w:rPr>
      </w:pPr>
    </w:p>
    <w:p w14:paraId="31CF063F" w14:textId="77777777" w:rsidR="000F3555" w:rsidRPr="00B80EC8" w:rsidRDefault="000F3555" w:rsidP="006E210B">
      <w:pPr>
        <w:spacing w:after="0" w:line="276" w:lineRule="auto"/>
        <w:ind w:left="720"/>
        <w:rPr>
          <w:rFonts w:cstheme="minorHAnsi"/>
          <w:i/>
          <w:iCs/>
        </w:rPr>
      </w:pPr>
    </w:p>
    <w:p w14:paraId="441876E9" w14:textId="3AC3FA14" w:rsidR="00D41AED" w:rsidRPr="00AF2AFB" w:rsidRDefault="00600E6A" w:rsidP="006E210B">
      <w:pPr>
        <w:spacing w:line="276" w:lineRule="auto"/>
        <w:rPr>
          <w:rFonts w:cstheme="minorHAnsi"/>
          <w:b/>
          <w:bCs/>
        </w:rPr>
      </w:pPr>
      <w:r>
        <w:rPr>
          <w:rFonts w:cstheme="minorHAnsi"/>
          <w:b/>
          <w:bCs/>
        </w:rPr>
        <w:t>Tracking case codes:</w:t>
      </w:r>
    </w:p>
    <w:p w14:paraId="1074A014" w14:textId="0CEA78D2" w:rsidR="005179EC" w:rsidRDefault="00600E6A" w:rsidP="006E210B">
      <w:pPr>
        <w:spacing w:line="276" w:lineRule="auto"/>
        <w:rPr>
          <w:rFonts w:cstheme="minorHAnsi"/>
        </w:rPr>
      </w:pPr>
      <w:r>
        <w:rPr>
          <w:rFonts w:cstheme="minorHAnsi"/>
        </w:rPr>
        <w:t>All project leads/submission leads must keep an internal log of the case code assigned to each patient. This will enable project leads/submission leads to keep track of the patients and their Case Note Review data, allowing for reidentification if required.</w:t>
      </w:r>
    </w:p>
    <w:p w14:paraId="37D8AF35" w14:textId="77777777" w:rsidR="005179EC" w:rsidRPr="00B80EC8" w:rsidRDefault="005179EC" w:rsidP="006E210B">
      <w:pPr>
        <w:numPr>
          <w:ilvl w:val="0"/>
          <w:numId w:val="24"/>
        </w:numPr>
        <w:spacing w:after="0" w:line="276" w:lineRule="auto"/>
        <w:rPr>
          <w:rFonts w:cstheme="minorHAnsi"/>
        </w:rPr>
      </w:pPr>
      <w:r>
        <w:rPr>
          <w:rFonts w:cstheme="minorHAnsi"/>
        </w:rPr>
        <w:t xml:space="preserve">Keep an </w:t>
      </w:r>
      <w:r>
        <w:rPr>
          <w:rFonts w:cstheme="minorHAnsi"/>
          <w:b/>
          <w:bCs/>
        </w:rPr>
        <w:t>internal log</w:t>
      </w:r>
      <w:r>
        <w:rPr>
          <w:rFonts w:cstheme="minorHAnsi"/>
        </w:rPr>
        <w:t xml:space="preserve"> linking case codes to patients for internal tracking only.</w:t>
      </w:r>
    </w:p>
    <w:p w14:paraId="215A7822" w14:textId="6F44F0A6" w:rsidR="00600E6A" w:rsidRPr="00250778" w:rsidRDefault="00250778" w:rsidP="006E210B">
      <w:pPr>
        <w:numPr>
          <w:ilvl w:val="0"/>
          <w:numId w:val="24"/>
        </w:numPr>
        <w:spacing w:after="0" w:line="276" w:lineRule="auto"/>
        <w:rPr>
          <w:rFonts w:cstheme="minorHAnsi"/>
        </w:rPr>
      </w:pPr>
      <w:r>
        <w:rPr>
          <w:rFonts w:cstheme="minorHAnsi"/>
          <w:b/>
          <w:bCs/>
        </w:rPr>
        <w:t>Do not share</w:t>
      </w:r>
      <w:r>
        <w:rPr>
          <w:rFonts w:cstheme="minorHAnsi"/>
        </w:rPr>
        <w:t xml:space="preserve"> this information outside your organisation, including with the NACEL team. </w:t>
      </w:r>
    </w:p>
    <w:p w14:paraId="317E315B" w14:textId="77777777" w:rsidR="00B13294" w:rsidRDefault="00B13294" w:rsidP="006E210B">
      <w:pPr>
        <w:spacing w:after="0" w:line="276" w:lineRule="auto"/>
        <w:rPr>
          <w:rFonts w:cstheme="minorHAnsi"/>
          <w:b/>
          <w:bCs/>
          <w:i/>
          <w:iCs/>
        </w:rPr>
      </w:pPr>
    </w:p>
    <w:p w14:paraId="2154B2B2" w14:textId="77777777" w:rsidR="00D41AED" w:rsidRPr="00AF2AFB" w:rsidRDefault="00613823" w:rsidP="006E210B">
      <w:pPr>
        <w:spacing w:line="276" w:lineRule="auto"/>
      </w:pPr>
      <w:r>
        <w:rPr>
          <w:b/>
          <w:bCs/>
        </w:rPr>
        <w:t>Management of Outliers:</w:t>
      </w:r>
      <w:r>
        <w:t xml:space="preserve">  </w:t>
      </w:r>
    </w:p>
    <w:p w14:paraId="3B0BE21D" w14:textId="71E2C1F4" w:rsidR="002C2F1C" w:rsidRPr="00AF2AFB" w:rsidRDefault="002C2F1C" w:rsidP="006E210B">
      <w:pPr>
        <w:spacing w:line="276" w:lineRule="auto"/>
      </w:pPr>
      <w:r>
        <w:t xml:space="preserve">To facilitate the NACEL Management of Outliers process, we ask that all submissions ensure that the case notes reviewed for NACEL 2027 are easily accessible until </w:t>
      </w:r>
      <w:r>
        <w:rPr>
          <w:b/>
          <w:bCs/>
        </w:rPr>
        <w:t>February 2028</w:t>
      </w:r>
      <w:r>
        <w:t xml:space="preserve">. This may require holding back the case notes or requesting access to them in advance of February 2028. This is to ensure case notes are available within the timescales laid out in the Management of Outliers policy. To find out more about the Management of Outliers process, please see </w:t>
      </w:r>
      <w:hyperlink w:anchor="_Management_of_Outliers" w:history="1">
        <w:r>
          <w:rPr>
            <w:rStyle w:val="Hyperlink"/>
          </w:rPr>
          <w:t>section 10</w:t>
        </w:r>
      </w:hyperlink>
      <w:r>
        <w:t xml:space="preserve">. The policy is available on the </w:t>
      </w:r>
      <w:hyperlink r:id="rId26" w:history="1">
        <w:r>
          <w:rPr>
            <w:rStyle w:val="Hyperlink"/>
          </w:rPr>
          <w:t>NACEL Portal</w:t>
        </w:r>
      </w:hyperlink>
      <w:r>
        <w:t xml:space="preserve">. </w:t>
      </w:r>
    </w:p>
    <w:p w14:paraId="56D69BB5" w14:textId="45F7F9F6" w:rsidR="00D41AED" w:rsidRPr="00AF2AFB" w:rsidRDefault="00A7414B" w:rsidP="006E210B">
      <w:pPr>
        <w:spacing w:line="276" w:lineRule="auto"/>
        <w:rPr>
          <w:rFonts w:cstheme="minorHAnsi"/>
          <w:b/>
          <w:bCs/>
        </w:rPr>
      </w:pPr>
      <w:r>
        <w:rPr>
          <w:rFonts w:cstheme="minorHAnsi"/>
          <w:b/>
          <w:bCs/>
        </w:rPr>
        <w:t>Data quality:</w:t>
      </w:r>
    </w:p>
    <w:p w14:paraId="1803A4E8" w14:textId="7DD81591" w:rsidR="009F0360" w:rsidRDefault="00074BD4" w:rsidP="006E210B">
      <w:pPr>
        <w:spacing w:line="276" w:lineRule="auto"/>
        <w:rPr>
          <w:rFonts w:cstheme="minorHAnsi"/>
        </w:rPr>
      </w:pPr>
      <w:r>
        <w:rPr>
          <w:rFonts w:cstheme="minorHAnsi"/>
        </w:rPr>
        <w:t>We recommend that the staff who complete the Case Note Review are clinicians with experience of delivering palliative or end of life care. To assure the data quality, we recommend that auditors complete an internal validation exercise to establish that responses are consistent across the submission.</w:t>
      </w:r>
      <w:bookmarkStart w:id="22" w:name="_Hlk59452460"/>
      <w:r>
        <w:rPr>
          <w:rFonts w:cstheme="minorHAnsi"/>
        </w:rPr>
        <w:t xml:space="preserve"> Furthermore, we encourage you to actively review the results shown in the Data and Improvement Tool to ensure the findings reflect the service provided by your organisation. </w:t>
      </w:r>
    </w:p>
    <w:p w14:paraId="76518517" w14:textId="1C39D166" w:rsidR="00BA51E3" w:rsidRPr="00424980" w:rsidRDefault="003D7AE8" w:rsidP="006E210B">
      <w:pPr>
        <w:pStyle w:val="Heading2"/>
        <w:spacing w:line="276" w:lineRule="auto"/>
        <w:rPr>
          <w:rFonts w:asciiTheme="minorHAnsi" w:hAnsiTheme="minorHAnsi" w:cstheme="minorHAnsi"/>
          <w:b/>
          <w:bCs/>
          <w:color w:val="375623" w:themeColor="accent1"/>
          <w:sz w:val="24"/>
          <w:szCs w:val="24"/>
        </w:rPr>
      </w:pPr>
      <w:bookmarkStart w:id="23" w:name="_Toc212207537"/>
      <w:bookmarkEnd w:id="18"/>
      <w:bookmarkEnd w:id="22"/>
      <w:r>
        <w:rPr>
          <w:rFonts w:asciiTheme="minorHAnsi" w:hAnsiTheme="minorHAnsi" w:cstheme="minorHAnsi"/>
          <w:b/>
          <w:bCs/>
          <w:color w:val="375623" w:themeColor="accent1"/>
          <w:sz w:val="24"/>
          <w:szCs w:val="24"/>
        </w:rPr>
        <w:t>Bereavement Survey</w:t>
      </w:r>
      <w:bookmarkEnd w:id="23"/>
      <w:r>
        <w:rPr>
          <w:rFonts w:asciiTheme="minorHAnsi" w:hAnsiTheme="minorHAnsi" w:cstheme="minorHAnsi"/>
          <w:b/>
          <w:bCs/>
          <w:color w:val="375623" w:themeColor="accent1"/>
          <w:sz w:val="24"/>
          <w:szCs w:val="24"/>
        </w:rPr>
        <w:t xml:space="preserve"> </w:t>
      </w:r>
    </w:p>
    <w:p w14:paraId="6F2097BA" w14:textId="0B6DD587" w:rsidR="00002507" w:rsidRPr="00002507" w:rsidRDefault="00002507" w:rsidP="006E210B">
      <w:pPr>
        <w:spacing w:line="276" w:lineRule="auto"/>
        <w:rPr>
          <w:rFonts w:cstheme="minorHAnsi"/>
        </w:rPr>
      </w:pPr>
      <w:bookmarkStart w:id="24" w:name="_Hlk59447356"/>
      <w:r>
        <w:rPr>
          <w:rFonts w:cstheme="minorHAnsi"/>
        </w:rPr>
        <w:t xml:space="preserve">The Bereavement Survey (formerly Quality Survey) is an online or paper questionnaire for the bereaved person(s) of patients who died in hospital between </w:t>
      </w:r>
      <w:r>
        <w:rPr>
          <w:rFonts w:cstheme="minorHAnsi"/>
          <w:b/>
          <w:bCs/>
        </w:rPr>
        <w:t>1 Jan 2026 – 31 Dec 2027</w:t>
      </w:r>
      <w:r>
        <w:rPr>
          <w:rFonts w:cstheme="minorHAnsi"/>
        </w:rPr>
        <w:t>. Responses are reported in the year the death occurred. Participation is expected from all submissions.</w:t>
      </w:r>
    </w:p>
    <w:p w14:paraId="5069AA4A" w14:textId="77777777" w:rsidR="00002507" w:rsidRPr="00002507" w:rsidRDefault="00002507" w:rsidP="006E210B">
      <w:pPr>
        <w:numPr>
          <w:ilvl w:val="0"/>
          <w:numId w:val="26"/>
        </w:numPr>
        <w:spacing w:line="276" w:lineRule="auto"/>
        <w:rPr>
          <w:rFonts w:cstheme="minorHAnsi"/>
        </w:rPr>
      </w:pPr>
      <w:r>
        <w:rPr>
          <w:rFonts w:cstheme="minorHAnsi"/>
        </w:rPr>
        <w:t>Bereaved person(s) refers to the patient’s carer, relative, next of kin, or someone close.</w:t>
      </w:r>
    </w:p>
    <w:p w14:paraId="540C0EC0" w14:textId="77777777" w:rsidR="00002507" w:rsidRPr="000E5E24" w:rsidRDefault="00002507" w:rsidP="006E210B">
      <w:pPr>
        <w:numPr>
          <w:ilvl w:val="0"/>
          <w:numId w:val="26"/>
        </w:numPr>
        <w:spacing w:line="276" w:lineRule="auto"/>
        <w:rPr>
          <w:rFonts w:cstheme="minorHAnsi"/>
        </w:rPr>
      </w:pPr>
      <w:r>
        <w:rPr>
          <w:rFonts w:cstheme="minorHAnsi"/>
        </w:rPr>
        <w:t>Participation is voluntary; bereaved people decide whether to respond.</w:t>
      </w:r>
    </w:p>
    <w:p w14:paraId="0F21C857" w14:textId="0FA55CA2" w:rsidR="00354753" w:rsidRDefault="00881F75">
      <w:pPr>
        <w:numPr>
          <w:ilvl w:val="0"/>
          <w:numId w:val="26"/>
        </w:numPr>
        <w:spacing w:line="276" w:lineRule="auto"/>
        <w:rPr>
          <w:rFonts w:cstheme="minorHAnsi"/>
        </w:rPr>
      </w:pPr>
      <w:r>
        <w:rPr>
          <w:rFonts w:cstheme="minorHAnsi"/>
        </w:rPr>
        <w:t>The 2027 survey has 18 questions. Respondents are asked when the death occurred (by quarter of 2026 or 2027, or before January 2026). As the survey continues from NACEL 2026 with no break, this is a mandatory question so that each response can be mapped to the correct audit year.</w:t>
      </w:r>
    </w:p>
    <w:p w14:paraId="21DAAB36" w14:textId="6541EAF1" w:rsidR="00FF5ACB" w:rsidRPr="00FF5ACB" w:rsidRDefault="00FF5ACB" w:rsidP="006E210B">
      <w:pPr>
        <w:pStyle w:val="ListParagraph"/>
        <w:numPr>
          <w:ilvl w:val="0"/>
          <w:numId w:val="26"/>
        </w:numPr>
        <w:spacing w:line="276" w:lineRule="auto"/>
        <w:rPr>
          <w:rFonts w:eastAsiaTheme="majorEastAsia" w:cstheme="minorHAnsi"/>
        </w:rPr>
      </w:pPr>
      <w:r>
        <w:rPr>
          <w:rFonts w:eastAsiaTheme="majorEastAsia" w:cstheme="minorHAnsi"/>
        </w:rPr>
        <w:t xml:space="preserve">It is advised that you review the </w:t>
      </w:r>
      <w:hyperlink r:id="rId27" w:history="1">
        <w:r>
          <w:rPr>
            <w:rStyle w:val="Hyperlink"/>
            <w:rFonts w:eastAsiaTheme="majorEastAsia" w:cstheme="minorHAnsi"/>
          </w:rPr>
          <w:t>NACEL Information Governance guidance for Trusts/UHBs</w:t>
        </w:r>
      </w:hyperlink>
      <w:r>
        <w:rPr>
          <w:rFonts w:eastAsiaTheme="majorEastAsia" w:cstheme="minorHAnsi"/>
        </w:rPr>
        <w:t xml:space="preserve"> and check your organisation’s Fair Processing Notices cover the potential use of carer data to send clinical surveys. </w:t>
      </w:r>
    </w:p>
    <w:bookmarkEnd w:id="24"/>
    <w:p w14:paraId="3CC2357B" w14:textId="77777777" w:rsidR="009948B8" w:rsidRPr="009948B8" w:rsidRDefault="009948B8" w:rsidP="006E210B">
      <w:pPr>
        <w:spacing w:line="276" w:lineRule="auto"/>
        <w:rPr>
          <w:rFonts w:cstheme="minorHAnsi"/>
          <w:b/>
          <w:bCs/>
        </w:rPr>
      </w:pPr>
      <w:r>
        <w:rPr>
          <w:rFonts w:cstheme="minorHAnsi"/>
          <w:b/>
          <w:bCs/>
        </w:rPr>
        <w:t>Exclusions</w:t>
      </w:r>
    </w:p>
    <w:p w14:paraId="018A7AB1" w14:textId="77777777" w:rsidR="009948B8" w:rsidRPr="009948B8" w:rsidRDefault="009948B8" w:rsidP="006E210B">
      <w:pPr>
        <w:spacing w:line="276" w:lineRule="auto"/>
        <w:rPr>
          <w:rFonts w:cstheme="minorHAnsi"/>
        </w:rPr>
      </w:pPr>
      <w:r>
        <w:rPr>
          <w:rFonts w:cstheme="minorHAnsi"/>
        </w:rPr>
        <w:t>Do not include bereaved people for deaths in the following categories:</w:t>
      </w:r>
    </w:p>
    <w:p w14:paraId="389184F5" w14:textId="77777777" w:rsidR="009948B8" w:rsidRPr="009948B8" w:rsidRDefault="009948B8" w:rsidP="006E210B">
      <w:pPr>
        <w:numPr>
          <w:ilvl w:val="0"/>
          <w:numId w:val="27"/>
        </w:numPr>
        <w:spacing w:line="276" w:lineRule="auto"/>
        <w:rPr>
          <w:rFonts w:cstheme="minorHAnsi"/>
        </w:rPr>
      </w:pPr>
      <w:r>
        <w:rPr>
          <w:rFonts w:cstheme="minorHAnsi"/>
        </w:rPr>
        <w:t>Patients under 18</w:t>
      </w:r>
    </w:p>
    <w:p w14:paraId="34A8C649" w14:textId="77777777" w:rsidR="003C15BB" w:rsidRDefault="009948B8" w:rsidP="006E210B">
      <w:pPr>
        <w:numPr>
          <w:ilvl w:val="0"/>
          <w:numId w:val="27"/>
        </w:numPr>
        <w:spacing w:line="276" w:lineRule="auto"/>
        <w:rPr>
          <w:rFonts w:cstheme="minorHAnsi"/>
        </w:rPr>
      </w:pPr>
      <w:r>
        <w:rPr>
          <w:rFonts w:cstheme="minorHAnsi"/>
        </w:rPr>
        <w:t>Deaths in A&amp;E</w:t>
      </w:r>
    </w:p>
    <w:p w14:paraId="41A68EBC" w14:textId="5323954F" w:rsidR="009948B8" w:rsidRPr="009948B8" w:rsidRDefault="003C15BB" w:rsidP="006E210B">
      <w:pPr>
        <w:numPr>
          <w:ilvl w:val="0"/>
          <w:numId w:val="27"/>
        </w:numPr>
        <w:spacing w:line="276" w:lineRule="auto"/>
        <w:rPr>
          <w:rFonts w:cstheme="minorHAnsi"/>
        </w:rPr>
      </w:pPr>
      <w:r>
        <w:rPr>
          <w:rFonts w:cstheme="minorHAnsi"/>
        </w:rPr>
        <w:t>Deaths within 4 hours of admission</w:t>
      </w:r>
    </w:p>
    <w:p w14:paraId="2DBE9E89" w14:textId="77777777" w:rsidR="009948B8" w:rsidRPr="009948B8" w:rsidRDefault="009948B8" w:rsidP="006E210B">
      <w:pPr>
        <w:numPr>
          <w:ilvl w:val="0"/>
          <w:numId w:val="27"/>
        </w:numPr>
        <w:spacing w:line="276" w:lineRule="auto"/>
        <w:rPr>
          <w:rFonts w:cstheme="minorHAnsi"/>
        </w:rPr>
      </w:pPr>
      <w:r>
        <w:rPr>
          <w:rFonts w:cstheme="minorHAnsi"/>
        </w:rPr>
        <w:t>Suicides</w:t>
      </w:r>
    </w:p>
    <w:p w14:paraId="04D4B841" w14:textId="77777777" w:rsidR="009948B8" w:rsidRPr="009948B8" w:rsidRDefault="009948B8" w:rsidP="006E210B">
      <w:pPr>
        <w:numPr>
          <w:ilvl w:val="0"/>
          <w:numId w:val="27"/>
        </w:numPr>
        <w:spacing w:line="276" w:lineRule="auto"/>
        <w:rPr>
          <w:rFonts w:cstheme="minorHAnsi"/>
        </w:rPr>
      </w:pPr>
      <w:r>
        <w:rPr>
          <w:rFonts w:cstheme="minorHAnsi"/>
        </w:rPr>
        <w:t>Maternal deaths</w:t>
      </w:r>
    </w:p>
    <w:p w14:paraId="6FAD37DA" w14:textId="77777777" w:rsidR="009948B8" w:rsidRPr="009948B8" w:rsidRDefault="009948B8" w:rsidP="006E210B">
      <w:pPr>
        <w:spacing w:line="276" w:lineRule="auto"/>
        <w:rPr>
          <w:rFonts w:cstheme="minorHAnsi"/>
        </w:rPr>
      </w:pPr>
      <w:r>
        <w:rPr>
          <w:rFonts w:cstheme="minorHAnsi"/>
        </w:rPr>
        <w:t>Organisations should try to follow these exclusions and avoid advertising the survey in Emergency or Paediatric areas, though NACEL understands complete control is not always possible.</w:t>
      </w:r>
    </w:p>
    <w:p w14:paraId="4471C4E4" w14:textId="62864772" w:rsidR="00362C32" w:rsidRPr="009F0360" w:rsidRDefault="00362C32" w:rsidP="006E210B">
      <w:pPr>
        <w:spacing w:line="276" w:lineRule="auto"/>
        <w:rPr>
          <w:b/>
          <w:bCs/>
        </w:rPr>
      </w:pPr>
      <w:bookmarkStart w:id="25" w:name="_Hlk33780306"/>
      <w:bookmarkStart w:id="26" w:name="_Hlk59447408"/>
      <w:r>
        <w:rPr>
          <w:b/>
          <w:bCs/>
        </w:rPr>
        <w:lastRenderedPageBreak/>
        <w:t>How to participate in the survey</w:t>
      </w:r>
    </w:p>
    <w:p w14:paraId="77ECA3EF" w14:textId="26FF4B5A" w:rsidR="00775CA7" w:rsidRDefault="00362C32" w:rsidP="006E210B">
      <w:pPr>
        <w:spacing w:line="276" w:lineRule="auto"/>
        <w:rPr>
          <w:rFonts w:cstheme="minorHAnsi"/>
        </w:rPr>
      </w:pPr>
      <w:r>
        <w:rPr>
          <w:rFonts w:cstheme="minorHAnsi"/>
        </w:rPr>
        <w:t xml:space="preserve">Organisations should invite bereaved person(s) to take part in the NACEL Bereavement Survey. </w:t>
      </w:r>
    </w:p>
    <w:p w14:paraId="5E17BDD2" w14:textId="222D5DA3" w:rsidR="00775CA7" w:rsidRPr="009F0360" w:rsidRDefault="00775CA7" w:rsidP="006E210B">
      <w:pPr>
        <w:pStyle w:val="ListParagraph"/>
        <w:numPr>
          <w:ilvl w:val="0"/>
          <w:numId w:val="44"/>
        </w:numPr>
        <w:spacing w:line="276" w:lineRule="auto"/>
        <w:rPr>
          <w:rFonts w:cstheme="minorHAnsi"/>
          <w:b/>
          <w:bCs/>
        </w:rPr>
      </w:pPr>
      <w:r>
        <w:rPr>
          <w:rFonts w:cstheme="minorHAnsi"/>
          <w:b/>
          <w:bCs/>
        </w:rPr>
        <w:t xml:space="preserve">Online survey: </w:t>
      </w:r>
    </w:p>
    <w:p w14:paraId="76F88D86" w14:textId="2C2BCA06" w:rsidR="00BF750B" w:rsidRPr="00BF750B" w:rsidRDefault="00BF750B" w:rsidP="006E210B">
      <w:pPr>
        <w:numPr>
          <w:ilvl w:val="0"/>
          <w:numId w:val="28"/>
        </w:numPr>
        <w:spacing w:line="276" w:lineRule="auto"/>
        <w:rPr>
          <w:rFonts w:cstheme="minorHAnsi"/>
          <w:bCs/>
        </w:rPr>
      </w:pPr>
      <w:r>
        <w:rPr>
          <w:rFonts w:cstheme="minorHAnsi"/>
        </w:rPr>
        <w:t>Invite bereaved person(s)</w:t>
      </w:r>
      <w:r>
        <w:rPr>
          <w:rFonts w:cstheme="minorHAnsi"/>
          <w:bCs/>
        </w:rPr>
        <w:t xml:space="preserve"> using the submission-specific URL or QR code.</w:t>
      </w:r>
    </w:p>
    <w:p w14:paraId="385A5560" w14:textId="0331210A" w:rsidR="00BF750B" w:rsidRPr="00BF750B" w:rsidRDefault="00BF750B" w:rsidP="006E210B">
      <w:pPr>
        <w:numPr>
          <w:ilvl w:val="1"/>
          <w:numId w:val="28"/>
        </w:numPr>
        <w:spacing w:line="276" w:lineRule="auto"/>
        <w:rPr>
          <w:rFonts w:cstheme="minorHAnsi"/>
          <w:bCs/>
        </w:rPr>
      </w:pPr>
      <w:r>
        <w:rPr>
          <w:rFonts w:cstheme="minorHAnsi"/>
          <w:bCs/>
        </w:rPr>
        <w:t xml:space="preserve">Ensure the correct link is used if multiple submissions exist. They survey must align to the NACEL submission. </w:t>
      </w:r>
    </w:p>
    <w:p w14:paraId="595DCA41" w14:textId="51D010C5" w:rsidR="00BF750B" w:rsidRDefault="00BF750B" w:rsidP="006E210B">
      <w:pPr>
        <w:pStyle w:val="ListParagraph"/>
        <w:numPr>
          <w:ilvl w:val="0"/>
          <w:numId w:val="28"/>
        </w:numPr>
        <w:spacing w:line="276" w:lineRule="auto"/>
        <w:rPr>
          <w:rFonts w:cstheme="minorHAnsi"/>
          <w:bCs/>
        </w:rPr>
      </w:pPr>
      <w:r>
        <w:rPr>
          <w:rFonts w:cstheme="minorHAnsi"/>
        </w:rPr>
        <w:t>Availability</w:t>
      </w:r>
      <w:r>
        <w:rPr>
          <w:rFonts w:cstheme="minorHAnsi"/>
          <w:b/>
          <w:bCs/>
        </w:rPr>
        <w:t>:</w:t>
      </w:r>
      <w:r>
        <w:rPr>
          <w:rFonts w:cstheme="minorHAnsi"/>
          <w:bCs/>
        </w:rPr>
        <w:t xml:space="preserve"> Links from NACEL 2024, 2025 and 2026 redirect to the 2027 survey and can be reused.</w:t>
      </w:r>
    </w:p>
    <w:p w14:paraId="66A49D0D" w14:textId="2E5C6EAA" w:rsidR="00FB3FC9" w:rsidRPr="00FB3FC9" w:rsidRDefault="00FB3FC9" w:rsidP="006E210B">
      <w:pPr>
        <w:pStyle w:val="ListParagraph"/>
        <w:numPr>
          <w:ilvl w:val="1"/>
          <w:numId w:val="28"/>
        </w:numPr>
        <w:spacing w:line="276" w:lineRule="auto"/>
        <w:rPr>
          <w:rFonts w:cstheme="minorHAnsi"/>
        </w:rPr>
      </w:pPr>
      <w:r>
        <w:rPr>
          <w:rFonts w:cstheme="minorHAnsi"/>
        </w:rPr>
        <w:t xml:space="preserve">The links/QR code can also be found from the NACEL data collection pages. </w:t>
      </w:r>
    </w:p>
    <w:p w14:paraId="7E250F54" w14:textId="2FE7F8A2" w:rsidR="00BF750B" w:rsidRDefault="00BF750B" w:rsidP="006E210B">
      <w:pPr>
        <w:numPr>
          <w:ilvl w:val="0"/>
          <w:numId w:val="28"/>
        </w:numPr>
        <w:spacing w:line="276" w:lineRule="auto"/>
        <w:rPr>
          <w:rFonts w:cstheme="minorHAnsi"/>
          <w:bCs/>
        </w:rPr>
      </w:pPr>
      <w:r>
        <w:rPr>
          <w:rFonts w:cstheme="minorHAnsi"/>
        </w:rPr>
        <w:t>Monitor responses via the NACEL data collection</w:t>
      </w:r>
      <w:r>
        <w:rPr>
          <w:rFonts w:cstheme="minorHAnsi"/>
          <w:bCs/>
        </w:rPr>
        <w:t xml:space="preserve"> page.</w:t>
      </w:r>
    </w:p>
    <w:p w14:paraId="7BCEDE6D" w14:textId="302C7512" w:rsidR="00BF750B" w:rsidRPr="009F0360" w:rsidRDefault="00BF750B" w:rsidP="006E210B">
      <w:pPr>
        <w:pStyle w:val="ListParagraph"/>
        <w:numPr>
          <w:ilvl w:val="0"/>
          <w:numId w:val="44"/>
        </w:numPr>
        <w:spacing w:line="276" w:lineRule="auto"/>
        <w:rPr>
          <w:rFonts w:cstheme="minorHAnsi"/>
          <w:b/>
          <w:bCs/>
        </w:rPr>
      </w:pPr>
      <w:r>
        <w:rPr>
          <w:rFonts w:cstheme="minorHAnsi"/>
          <w:b/>
          <w:bCs/>
        </w:rPr>
        <w:t>Paper Survey:</w:t>
      </w:r>
    </w:p>
    <w:p w14:paraId="4A3806F7" w14:textId="77777777" w:rsidR="00BF750B" w:rsidRPr="00BF750B" w:rsidRDefault="00BF750B" w:rsidP="006E210B">
      <w:pPr>
        <w:numPr>
          <w:ilvl w:val="0"/>
          <w:numId w:val="30"/>
        </w:numPr>
        <w:spacing w:line="276" w:lineRule="auto"/>
        <w:rPr>
          <w:rFonts w:cstheme="minorHAnsi"/>
          <w:bCs/>
        </w:rPr>
      </w:pPr>
      <w:r>
        <w:rPr>
          <w:rFonts w:cstheme="minorHAnsi"/>
          <w:bCs/>
        </w:rPr>
        <w:t>To increase equity for those with limited digital access, surveys may be printed and distributed.</w:t>
      </w:r>
    </w:p>
    <w:p w14:paraId="41E0D1D2" w14:textId="4992B001" w:rsidR="00843AF6" w:rsidRDefault="00BF750B" w:rsidP="006E210B">
      <w:pPr>
        <w:numPr>
          <w:ilvl w:val="0"/>
          <w:numId w:val="30"/>
        </w:numPr>
        <w:spacing w:line="276" w:lineRule="auto"/>
        <w:rPr>
          <w:rFonts w:cstheme="minorHAnsi"/>
          <w:bCs/>
        </w:rPr>
      </w:pPr>
      <w:r>
        <w:rPr>
          <w:rFonts w:cstheme="minorHAnsi"/>
          <w:bCs/>
        </w:rPr>
        <w:t>Hospitals/sites must manage distribution, collection, and entry of responses into the online survey or onto the NACEL Bereavement Survey Spreadsheet to submit to NACEL for upload.</w:t>
      </w:r>
    </w:p>
    <w:p w14:paraId="2A43E0BF" w14:textId="16EE3EED" w:rsidR="00843AF6" w:rsidRPr="00843AF6" w:rsidRDefault="00BF750B" w:rsidP="006E210B">
      <w:pPr>
        <w:numPr>
          <w:ilvl w:val="0"/>
          <w:numId w:val="30"/>
        </w:numPr>
        <w:spacing w:line="276" w:lineRule="auto"/>
        <w:rPr>
          <w:rFonts w:cstheme="minorHAnsi"/>
          <w:bCs/>
        </w:rPr>
      </w:pPr>
      <w:r>
        <w:rPr>
          <w:rFonts w:cstheme="minorHAnsi"/>
          <w:bCs/>
        </w:rPr>
        <w:t>Ensure feedback is linked to the correct submission.</w:t>
      </w:r>
      <w:r>
        <w:rPr>
          <w:color w:val="000000"/>
        </w:rPr>
        <w:t xml:space="preserve"> It needs to be clear which NACEL submission (i.e., hospital/site) the bereaved person’s feedback relates to. The feedback should be uploaded to the correct NACEL submission Bereavement Survey link. </w:t>
      </w:r>
      <w:r>
        <w:rPr>
          <w:b/>
          <w:bCs/>
          <w:color w:val="000000"/>
        </w:rPr>
        <w:t>Print the hospital/site name at the top of the paper Bereavement Survey</w:t>
      </w:r>
      <w:r>
        <w:rPr>
          <w:color w:val="000000"/>
        </w:rPr>
        <w:t xml:space="preserve">. </w:t>
      </w:r>
    </w:p>
    <w:p w14:paraId="175EFCD2" w14:textId="77777777" w:rsidR="00BF750B" w:rsidRPr="00BF750B" w:rsidRDefault="00BF750B" w:rsidP="006E210B">
      <w:pPr>
        <w:numPr>
          <w:ilvl w:val="0"/>
          <w:numId w:val="30"/>
        </w:numPr>
        <w:spacing w:line="276" w:lineRule="auto"/>
        <w:rPr>
          <w:rFonts w:cstheme="minorHAnsi"/>
          <w:bCs/>
        </w:rPr>
      </w:pPr>
      <w:r>
        <w:rPr>
          <w:rFonts w:cstheme="minorHAnsi"/>
          <w:bCs/>
        </w:rPr>
        <w:t>Surveys remain anonymous; no identifiable data is collected.</w:t>
      </w:r>
    </w:p>
    <w:p w14:paraId="3215B61E" w14:textId="28F22984" w:rsidR="00BF750B" w:rsidRPr="00BF750B" w:rsidRDefault="00BF750B" w:rsidP="006E210B">
      <w:pPr>
        <w:numPr>
          <w:ilvl w:val="0"/>
          <w:numId w:val="30"/>
        </w:numPr>
        <w:spacing w:line="276" w:lineRule="auto"/>
        <w:rPr>
          <w:rFonts w:cstheme="minorHAnsi"/>
          <w:bCs/>
        </w:rPr>
      </w:pPr>
      <w:r>
        <w:rPr>
          <w:rFonts w:cstheme="minorHAnsi"/>
          <w:bCs/>
        </w:rPr>
        <w:t xml:space="preserve">Resource considerations: Staff time and capacity are required for printing, distribution, collection, and data entry. Cost implications of printing the surveys and using pre-paid envelopes. </w:t>
      </w:r>
    </w:p>
    <w:p w14:paraId="45105C05" w14:textId="174C2EA7" w:rsidR="00576560" w:rsidRDefault="0026242D" w:rsidP="006E210B">
      <w:pPr>
        <w:spacing w:line="276" w:lineRule="auto"/>
        <w:rPr>
          <w:rFonts w:cstheme="minorHAnsi"/>
        </w:rPr>
      </w:pPr>
      <w:r>
        <w:rPr>
          <w:rFonts w:cstheme="minorHAnsi"/>
          <w:b/>
          <w:bCs/>
        </w:rPr>
        <w:t>Timing:</w:t>
      </w:r>
      <w:r>
        <w:rPr>
          <w:rFonts w:cstheme="minorHAnsi"/>
          <w:bCs/>
        </w:rPr>
        <w:t xml:space="preserve"> </w:t>
      </w:r>
      <w:r>
        <w:rPr>
          <w:rFonts w:cstheme="minorHAnsi"/>
        </w:rPr>
        <w:t xml:space="preserve">NACEL does not specify how much time should pass following a patient’s death before the Bereavement Survey is shared. Instead, we encourage Trusts to </w:t>
      </w:r>
      <w:proofErr w:type="gramStart"/>
      <w:r>
        <w:rPr>
          <w:rFonts w:cstheme="minorHAnsi"/>
        </w:rPr>
        <w:t>make a decision</w:t>
      </w:r>
      <w:proofErr w:type="gramEnd"/>
      <w:r>
        <w:rPr>
          <w:rFonts w:cstheme="minorHAnsi"/>
        </w:rPr>
        <w:t xml:space="preserve"> locally, considering the route of dissemination and sensitivity. If there is a policy for local bereavement surveys, NACEL recommends following this policy.</w:t>
      </w:r>
    </w:p>
    <w:p w14:paraId="364537AA" w14:textId="77777777" w:rsidR="003E1D10" w:rsidRPr="00AF2AFB" w:rsidRDefault="003E1D10" w:rsidP="006E210B">
      <w:pPr>
        <w:spacing w:line="276" w:lineRule="auto"/>
        <w:rPr>
          <w:rFonts w:cstheme="minorHAnsi"/>
        </w:rPr>
      </w:pPr>
    </w:p>
    <w:bookmarkEnd w:id="25"/>
    <w:bookmarkEnd w:id="26"/>
    <w:p w14:paraId="0DCF258C" w14:textId="27390DD4" w:rsidR="00115669" w:rsidRDefault="00115669" w:rsidP="006E210B">
      <w:pPr>
        <w:spacing w:line="276" w:lineRule="auto"/>
        <w:rPr>
          <w:b/>
          <w:bCs/>
        </w:rPr>
      </w:pPr>
      <w:r>
        <w:rPr>
          <w:b/>
          <w:bCs/>
        </w:rPr>
        <w:t>Alternative Local Collection</w:t>
      </w:r>
    </w:p>
    <w:p w14:paraId="31BDFD45" w14:textId="77777777" w:rsidR="00022F97" w:rsidRPr="00022F97" w:rsidRDefault="00022F97" w:rsidP="006E210B">
      <w:pPr>
        <w:spacing w:line="276" w:lineRule="auto"/>
      </w:pPr>
      <w:r>
        <w:t>If the standard Bereavement Survey methods are not feasible in your organisation, NACEL now offers an alternative approach. Organisations may collect a selection of NACEL Bereavement Survey questions through a local survey and submit the responses in a spreadsheet for upload.</w:t>
      </w:r>
    </w:p>
    <w:p w14:paraId="60AA1F73" w14:textId="28D2CD30" w:rsidR="00022F97" w:rsidRPr="00022F97" w:rsidRDefault="00022F97" w:rsidP="006E210B">
      <w:pPr>
        <w:numPr>
          <w:ilvl w:val="0"/>
          <w:numId w:val="33"/>
        </w:numPr>
        <w:spacing w:line="276" w:lineRule="auto"/>
      </w:pPr>
      <w:r>
        <w:t xml:space="preserve">Nine core metrics have been identified and must be collected and submitted as a minimum requirement- available </w:t>
      </w:r>
      <w:hyperlink r:id="rId28" w:history="1">
        <w:r>
          <w:rPr>
            <w:rStyle w:val="Hyperlink"/>
          </w:rPr>
          <w:t>here</w:t>
        </w:r>
      </w:hyperlink>
      <w:r>
        <w:t xml:space="preserve">. </w:t>
      </w:r>
    </w:p>
    <w:p w14:paraId="79856161" w14:textId="77777777" w:rsidR="00022F97" w:rsidRPr="00022F97" w:rsidRDefault="00022F97" w:rsidP="006E210B">
      <w:pPr>
        <w:numPr>
          <w:ilvl w:val="0"/>
          <w:numId w:val="33"/>
        </w:numPr>
        <w:spacing w:line="276" w:lineRule="auto"/>
      </w:pPr>
      <w:r>
        <w:lastRenderedPageBreak/>
        <w:t>Additional NACEL metrics may also be included and are strongly encouraged to enhance the dataset.</w:t>
      </w:r>
    </w:p>
    <w:p w14:paraId="0CF5C7F1" w14:textId="77777777" w:rsidR="00022F97" w:rsidRPr="00022F97" w:rsidRDefault="00022F97" w:rsidP="006E210B">
      <w:pPr>
        <w:numPr>
          <w:ilvl w:val="0"/>
          <w:numId w:val="33"/>
        </w:numPr>
        <w:spacing w:line="276" w:lineRule="auto"/>
      </w:pPr>
      <w:r>
        <w:t>This approach allows organisations to gather additional local questions or qualitative feedback alongside the NACEL metrics.</w:t>
      </w:r>
    </w:p>
    <w:p w14:paraId="1EE4529C" w14:textId="467792B5" w:rsidR="00BA2481" w:rsidRPr="000B460B" w:rsidRDefault="00881F75" w:rsidP="006E210B">
      <w:pPr>
        <w:numPr>
          <w:ilvl w:val="0"/>
          <w:numId w:val="33"/>
        </w:numPr>
        <w:spacing w:line="276" w:lineRule="auto"/>
      </w:pPr>
      <w:r>
        <w:t>Organisations using this approach should answer 'No' to taking part in the full NACEL Bereavement Survey and 'Yes' to partially taking part when completing the Annual Death Data Collection.</w:t>
      </w:r>
    </w:p>
    <w:p w14:paraId="376C8BCB" w14:textId="77777777" w:rsidR="004E752F" w:rsidRDefault="003C4724" w:rsidP="004E752F">
      <w:pPr>
        <w:spacing w:line="276" w:lineRule="auto"/>
        <w:rPr>
          <w:b/>
          <w:bCs/>
        </w:rPr>
      </w:pPr>
      <w:r>
        <w:rPr>
          <w:b/>
          <w:bCs/>
        </w:rPr>
        <w:t xml:space="preserve">Upload functionality </w:t>
      </w:r>
    </w:p>
    <w:p w14:paraId="29B06AE4" w14:textId="22F54BE0" w:rsidR="00267314" w:rsidRPr="00304809" w:rsidRDefault="00267314" w:rsidP="004E752F">
      <w:pPr>
        <w:spacing w:line="276" w:lineRule="auto"/>
      </w:pPr>
      <w:r>
        <w:t xml:space="preserve">An excel document will be made available to organisations to collate their offline responses. This will become available via the NACEL data collection pages. </w:t>
      </w:r>
    </w:p>
    <w:p w14:paraId="6C6FEC6E" w14:textId="7A4E8732" w:rsidR="00267314" w:rsidRPr="00304809" w:rsidRDefault="00267314" w:rsidP="006E210B">
      <w:pPr>
        <w:pStyle w:val="ListParagraph"/>
        <w:numPr>
          <w:ilvl w:val="0"/>
          <w:numId w:val="32"/>
        </w:numPr>
        <w:spacing w:line="276" w:lineRule="auto"/>
        <w:jc w:val="both"/>
      </w:pPr>
      <w:r>
        <w:t>Only 1 excel document should be used per NACEL submission</w:t>
      </w:r>
    </w:p>
    <w:p w14:paraId="2DC65B02" w14:textId="69F3A278" w:rsidR="00267314" w:rsidRPr="00304809" w:rsidRDefault="00267314" w:rsidP="006E210B">
      <w:pPr>
        <w:pStyle w:val="ListParagraph"/>
        <w:numPr>
          <w:ilvl w:val="0"/>
          <w:numId w:val="32"/>
        </w:numPr>
        <w:spacing w:line="276" w:lineRule="auto"/>
        <w:jc w:val="both"/>
      </w:pPr>
      <w:r>
        <w:t xml:space="preserve">Once populated, the excel document can be shared with the NACEL Support Team to upload the bereavement feedback into the NACEL database. </w:t>
      </w:r>
    </w:p>
    <w:p w14:paraId="5DDA48DB" w14:textId="3CC5A02C" w:rsidR="009F0360" w:rsidRDefault="00267314" w:rsidP="006E210B">
      <w:pPr>
        <w:pStyle w:val="ListParagraph"/>
        <w:numPr>
          <w:ilvl w:val="0"/>
          <w:numId w:val="32"/>
        </w:numPr>
        <w:spacing w:line="276" w:lineRule="auto"/>
        <w:jc w:val="both"/>
      </w:pPr>
      <w:r>
        <w:t>The NACEL Support Team will upload responses into the database quarterly</w:t>
      </w:r>
    </w:p>
    <w:p w14:paraId="2FAFF531" w14:textId="77777777" w:rsidR="009F0360" w:rsidRDefault="009F0360" w:rsidP="006E210B">
      <w:pPr>
        <w:spacing w:line="276" w:lineRule="auto"/>
        <w:jc w:val="both"/>
      </w:pPr>
    </w:p>
    <w:p w14:paraId="2572B2DC" w14:textId="77777777" w:rsidR="00606F7E" w:rsidRPr="009F0360" w:rsidRDefault="00606F7E" w:rsidP="006E210B">
      <w:pPr>
        <w:spacing w:line="276" w:lineRule="auto"/>
        <w:rPr>
          <w:b/>
          <w:bCs/>
        </w:rPr>
      </w:pPr>
      <w:r>
        <w:rPr>
          <w:b/>
          <w:bCs/>
        </w:rPr>
        <w:t>Tips and suggestions for distributing the Bereavement Survey</w:t>
      </w:r>
    </w:p>
    <w:p w14:paraId="524F170C" w14:textId="77777777" w:rsidR="003277DD" w:rsidRDefault="00FF5ACB" w:rsidP="006E210B">
      <w:pPr>
        <w:spacing w:line="276" w:lineRule="auto"/>
        <w:rPr>
          <w:rFonts w:eastAsiaTheme="majorEastAsia" w:cstheme="minorHAnsi"/>
        </w:rPr>
      </w:pPr>
      <w:r>
        <w:rPr>
          <w:rFonts w:eastAsiaTheme="majorEastAsia" w:cstheme="minorHAnsi"/>
        </w:rPr>
        <w:t>As each Trust/Health Board is different, the approach to distributing the Bereavement Survey will vary by organisation. We encourage you to share the survey using methods that suit your organisation.</w:t>
      </w:r>
    </w:p>
    <w:p w14:paraId="60E241D1" w14:textId="40E923F0" w:rsidR="00C06F70" w:rsidRDefault="00C06F70" w:rsidP="006E210B">
      <w:pPr>
        <w:spacing w:line="276" w:lineRule="auto"/>
      </w:pPr>
      <w:r>
        <w:rPr>
          <w:rFonts w:eastAsiaTheme="majorEastAsia" w:cstheme="minorHAnsi"/>
        </w:rPr>
        <w:t xml:space="preserve">A collection of </w:t>
      </w:r>
      <w:r>
        <w:t xml:space="preserve">approaches taken by organisations with a high number of survey responses to NACEL 2024 is outlined in </w:t>
      </w:r>
      <w:hyperlink r:id="rId29" w:history="1">
        <w:r>
          <w:rPr>
            <w:rStyle w:val="Hyperlink"/>
          </w:rPr>
          <w:t>this document</w:t>
        </w:r>
      </w:hyperlink>
      <w:r>
        <w:t xml:space="preserve">, and the individual organisation examples can be found </w:t>
      </w:r>
      <w:hyperlink r:id="rId30" w:history="1">
        <w:r>
          <w:rPr>
            <w:rStyle w:val="Hyperlink"/>
          </w:rPr>
          <w:t>here</w:t>
        </w:r>
      </w:hyperlink>
      <w:r>
        <w:t xml:space="preserve">. </w:t>
      </w:r>
    </w:p>
    <w:p w14:paraId="4A3215E3" w14:textId="3F60E425" w:rsidR="00F13C8A" w:rsidRPr="00BF750B" w:rsidRDefault="00F13C8A" w:rsidP="006E210B">
      <w:pPr>
        <w:spacing w:line="276" w:lineRule="auto"/>
        <w:rPr>
          <w:rFonts w:cstheme="minorHAnsi"/>
          <w:bCs/>
        </w:rPr>
      </w:pPr>
      <w:r>
        <w:rPr>
          <w:rFonts w:cstheme="minorHAnsi"/>
          <w:b/>
          <w:bCs/>
        </w:rPr>
        <w:t>Suggested methods include:</w:t>
      </w:r>
    </w:p>
    <w:p w14:paraId="7E7E775C" w14:textId="77777777" w:rsidR="00F13C8A" w:rsidRPr="00BF750B" w:rsidRDefault="00F13C8A" w:rsidP="006E210B">
      <w:pPr>
        <w:numPr>
          <w:ilvl w:val="0"/>
          <w:numId w:val="29"/>
        </w:numPr>
        <w:spacing w:line="276" w:lineRule="auto"/>
        <w:rPr>
          <w:rFonts w:cstheme="minorHAnsi"/>
          <w:bCs/>
        </w:rPr>
      </w:pPr>
      <w:r>
        <w:rPr>
          <w:rFonts w:cstheme="minorHAnsi"/>
          <w:bCs/>
        </w:rPr>
        <w:t>Email, letter, or leaflet in bereavement packs</w:t>
      </w:r>
    </w:p>
    <w:p w14:paraId="35BE3E3E" w14:textId="433D7EEA" w:rsidR="009156F7" w:rsidRDefault="009156F7" w:rsidP="006E210B">
      <w:pPr>
        <w:numPr>
          <w:ilvl w:val="1"/>
          <w:numId w:val="29"/>
        </w:numPr>
        <w:spacing w:line="276" w:lineRule="auto"/>
      </w:pPr>
      <w:r>
        <w:t>Engage bereavement services to promote participation</w:t>
      </w:r>
    </w:p>
    <w:p w14:paraId="2056C86B" w14:textId="40D96A7B" w:rsidR="002B2DA4" w:rsidRPr="00AF2AFB" w:rsidRDefault="002B2DA4" w:rsidP="006E210B">
      <w:pPr>
        <w:pStyle w:val="ListParagraph"/>
        <w:numPr>
          <w:ilvl w:val="0"/>
          <w:numId w:val="29"/>
        </w:numPr>
        <w:spacing w:line="276" w:lineRule="auto"/>
        <w:rPr>
          <w:rFonts w:eastAsiaTheme="majorEastAsia" w:cstheme="minorHAnsi"/>
        </w:rPr>
      </w:pPr>
      <w:r>
        <w:rPr>
          <w:rFonts w:eastAsiaTheme="majorEastAsia" w:cstheme="minorHAnsi"/>
        </w:rPr>
        <w:t xml:space="preserve">Involve Medical Examiners and Chaplains in the process. Reminding carers of the importance of the survey in improving end of life care for future families. </w:t>
      </w:r>
    </w:p>
    <w:p w14:paraId="54B5F2B7" w14:textId="1258753E" w:rsidR="00F13C8A" w:rsidRPr="00BF750B" w:rsidRDefault="00F13C8A" w:rsidP="006E210B">
      <w:pPr>
        <w:numPr>
          <w:ilvl w:val="0"/>
          <w:numId w:val="29"/>
        </w:numPr>
        <w:spacing w:line="276" w:lineRule="auto"/>
        <w:rPr>
          <w:rFonts w:cstheme="minorHAnsi"/>
          <w:bCs/>
        </w:rPr>
      </w:pPr>
      <w:r>
        <w:rPr>
          <w:rFonts w:cstheme="minorHAnsi"/>
          <w:bCs/>
        </w:rPr>
        <w:t>Posters, leaflets, or letters on hospital wards (NACEL provides examples)</w:t>
      </w:r>
    </w:p>
    <w:p w14:paraId="632D3EB4" w14:textId="77777777" w:rsidR="00F13C8A" w:rsidRDefault="00F13C8A" w:rsidP="006E210B">
      <w:pPr>
        <w:numPr>
          <w:ilvl w:val="0"/>
          <w:numId w:val="29"/>
        </w:numPr>
        <w:spacing w:line="276" w:lineRule="auto"/>
        <w:rPr>
          <w:rFonts w:cstheme="minorHAnsi"/>
          <w:bCs/>
        </w:rPr>
      </w:pPr>
      <w:r>
        <w:rPr>
          <w:rFonts w:cstheme="minorHAnsi"/>
          <w:bCs/>
        </w:rPr>
        <w:t>Organisation electronic messaging systems</w:t>
      </w:r>
    </w:p>
    <w:p w14:paraId="2CB9BEF0" w14:textId="4CE98CD3" w:rsidR="00410F3E" w:rsidRDefault="00410F3E" w:rsidP="006E210B">
      <w:pPr>
        <w:numPr>
          <w:ilvl w:val="0"/>
          <w:numId w:val="29"/>
        </w:numPr>
        <w:spacing w:line="276" w:lineRule="auto"/>
        <w:rPr>
          <w:rFonts w:cstheme="minorHAnsi"/>
          <w:bCs/>
        </w:rPr>
      </w:pPr>
      <w:r>
        <w:rPr>
          <w:rFonts w:cstheme="minorHAnsi"/>
          <w:bCs/>
        </w:rPr>
        <w:t>Support of the bereavement services</w:t>
      </w:r>
    </w:p>
    <w:p w14:paraId="17B83503" w14:textId="77777777" w:rsidR="00424980" w:rsidRPr="006E210B" w:rsidRDefault="00424980" w:rsidP="006E210B">
      <w:pPr>
        <w:pStyle w:val="ListParagraph"/>
        <w:numPr>
          <w:ilvl w:val="0"/>
          <w:numId w:val="29"/>
        </w:numPr>
        <w:spacing w:line="276" w:lineRule="auto"/>
      </w:pPr>
      <w:r>
        <w:t>Collaborate with local groups to ensure feedback reflects diverse populations, including minority communities as LGBTQ+ centres, Faith organisations and Ethnic community associations</w:t>
      </w:r>
    </w:p>
    <w:p w14:paraId="59CB72A1" w14:textId="3B615DC0" w:rsidR="00F13C8A" w:rsidRDefault="00F13C8A" w:rsidP="006E210B">
      <w:pPr>
        <w:spacing w:line="276" w:lineRule="auto"/>
      </w:pPr>
      <w:r>
        <w:t xml:space="preserve">Example Bereavement Survey promotional resources are available: </w:t>
      </w:r>
      <w:hyperlink r:id="rId31" w:history="1">
        <w:r>
          <w:rPr>
            <w:rStyle w:val="Hyperlink"/>
          </w:rPr>
          <w:t>poster</w:t>
        </w:r>
      </w:hyperlink>
      <w:r>
        <w:t xml:space="preserve">, </w:t>
      </w:r>
      <w:hyperlink r:id="rId32" w:history="1">
        <w:r>
          <w:rPr>
            <w:rStyle w:val="Hyperlink"/>
          </w:rPr>
          <w:t>leaflet</w:t>
        </w:r>
      </w:hyperlink>
      <w:r>
        <w:t xml:space="preserve"> and </w:t>
      </w:r>
      <w:hyperlink r:id="rId33" w:history="1">
        <w:r>
          <w:rPr>
            <w:rStyle w:val="Hyperlink"/>
          </w:rPr>
          <w:t>letter</w:t>
        </w:r>
      </w:hyperlink>
      <w:r>
        <w:t xml:space="preserve">. </w:t>
      </w:r>
    </w:p>
    <w:p w14:paraId="0B47AD18" w14:textId="77777777" w:rsidR="003F49DC" w:rsidRPr="006E210B" w:rsidRDefault="003F49DC" w:rsidP="006E210B">
      <w:pPr>
        <w:spacing w:line="276" w:lineRule="auto"/>
        <w:rPr>
          <w:rFonts w:cstheme="minorHAnsi"/>
        </w:rPr>
      </w:pPr>
    </w:p>
    <w:p w14:paraId="1502299B" w14:textId="163AF491" w:rsidR="00BA51E3" w:rsidRPr="006E210B" w:rsidRDefault="00BA51E3" w:rsidP="006E210B">
      <w:pPr>
        <w:pStyle w:val="Heading2"/>
        <w:spacing w:line="276" w:lineRule="auto"/>
        <w:rPr>
          <w:rFonts w:asciiTheme="minorHAnsi" w:hAnsiTheme="minorHAnsi" w:cstheme="minorHAnsi"/>
          <w:b/>
          <w:bCs/>
          <w:color w:val="375623" w:themeColor="accent1"/>
          <w:sz w:val="24"/>
          <w:szCs w:val="24"/>
        </w:rPr>
      </w:pPr>
      <w:bookmarkStart w:id="27" w:name="_Toc212207538"/>
      <w:r>
        <w:rPr>
          <w:rFonts w:asciiTheme="minorHAnsi" w:hAnsiTheme="minorHAnsi" w:cstheme="minorHAnsi"/>
          <w:b/>
          <w:bCs/>
          <w:color w:val="375623" w:themeColor="accent1"/>
          <w:sz w:val="24"/>
          <w:szCs w:val="24"/>
        </w:rPr>
        <w:lastRenderedPageBreak/>
        <w:t>Staff Reported Measure</w:t>
      </w:r>
      <w:bookmarkEnd w:id="27"/>
      <w:r>
        <w:rPr>
          <w:rFonts w:asciiTheme="minorHAnsi" w:hAnsiTheme="minorHAnsi" w:cstheme="minorHAnsi"/>
          <w:b/>
          <w:bCs/>
          <w:color w:val="375623" w:themeColor="accent1"/>
          <w:sz w:val="24"/>
          <w:szCs w:val="24"/>
        </w:rPr>
        <w:t xml:space="preserve"> </w:t>
      </w:r>
    </w:p>
    <w:p w14:paraId="072DD6D2" w14:textId="77777777" w:rsidR="00354753" w:rsidRDefault="00881F75">
      <w:pPr>
        <w:spacing w:line="276" w:lineRule="auto"/>
      </w:pPr>
      <w:r>
        <w:t>The Staff Reported Measure will not be collected in NACEL 2027.</w:t>
      </w:r>
    </w:p>
    <w:p w14:paraId="71468F40" w14:textId="00255C68" w:rsidR="006C474F" w:rsidRPr="009657BB" w:rsidRDefault="006C474F" w:rsidP="006E210B">
      <w:pPr>
        <w:pStyle w:val="Heading2"/>
        <w:spacing w:line="276" w:lineRule="auto"/>
        <w:rPr>
          <w:rFonts w:asciiTheme="minorHAnsi" w:hAnsiTheme="minorHAnsi" w:cstheme="minorHAnsi"/>
          <w:b/>
          <w:bCs/>
          <w:color w:val="375623" w:themeColor="accent1"/>
          <w:sz w:val="24"/>
          <w:szCs w:val="24"/>
        </w:rPr>
      </w:pPr>
      <w:bookmarkStart w:id="28" w:name="_Toc212207539"/>
      <w:r>
        <w:rPr>
          <w:rFonts w:asciiTheme="minorHAnsi" w:hAnsiTheme="minorHAnsi" w:cstheme="minorHAnsi"/>
          <w:b/>
          <w:bCs/>
          <w:color w:val="375623" w:themeColor="accent1"/>
          <w:sz w:val="24"/>
          <w:szCs w:val="24"/>
        </w:rPr>
        <w:t>Hospital/Site Overview</w:t>
      </w:r>
      <w:bookmarkEnd w:id="28"/>
    </w:p>
    <w:p w14:paraId="772E77C3" w14:textId="77777777" w:rsidR="00354753" w:rsidRDefault="00881F75">
      <w:pPr>
        <w:spacing w:line="276" w:lineRule="auto"/>
      </w:pPr>
      <w:r>
        <w:t>The Hospital/Site Overview returns for NACEL 2027. It is an organisation-level data collection, completed once for each submission, and covers:</w:t>
      </w:r>
    </w:p>
    <w:p w14:paraId="6423EA81" w14:textId="77777777" w:rsidR="00354753" w:rsidRDefault="00881F75">
      <w:pPr>
        <w:numPr>
          <w:ilvl w:val="0"/>
          <w:numId w:val="17"/>
        </w:numPr>
        <w:spacing w:line="276" w:lineRule="auto"/>
      </w:pPr>
      <w:r>
        <w:rPr>
          <w:b/>
        </w:rPr>
        <w:t xml:space="preserve">Beds: </w:t>
      </w:r>
      <w:r>
        <w:t xml:space="preserve">the total number of beds within your hospital/site </w:t>
      </w:r>
      <w:proofErr w:type="gramStart"/>
      <w:r>
        <w:t>at</w:t>
      </w:r>
      <w:proofErr w:type="gramEnd"/>
      <w:r>
        <w:t xml:space="preserve"> 31st March 2027, excluding paediatric, maternity, amenity and mental health beds.</w:t>
      </w:r>
    </w:p>
    <w:p w14:paraId="50E835B9" w14:textId="77777777" w:rsidR="00354753" w:rsidRDefault="00881F75">
      <w:pPr>
        <w:numPr>
          <w:ilvl w:val="0"/>
          <w:numId w:val="17"/>
        </w:numPr>
        <w:spacing w:line="276" w:lineRule="auto"/>
      </w:pPr>
      <w:r>
        <w:rPr>
          <w:b/>
        </w:rPr>
        <w:t xml:space="preserve">Specialist palliative care: </w:t>
      </w:r>
      <w:r>
        <w:t xml:space="preserve">access to a specialist palliative care service, whether a </w:t>
      </w:r>
      <w:proofErr w:type="gramStart"/>
      <w:r>
        <w:t>face to face</w:t>
      </w:r>
      <w:proofErr w:type="gramEnd"/>
      <w:r>
        <w:t xml:space="preserve"> service is available 8 hours a day, 7 days a week, and whether a telephone service is available 24 hours a day, 7 days a week.</w:t>
      </w:r>
    </w:p>
    <w:p w14:paraId="7761D265" w14:textId="77777777" w:rsidR="00354753" w:rsidRDefault="00881F75">
      <w:pPr>
        <w:numPr>
          <w:ilvl w:val="0"/>
          <w:numId w:val="17"/>
        </w:numPr>
        <w:spacing w:line="276" w:lineRule="auto"/>
      </w:pPr>
      <w:r>
        <w:rPr>
          <w:b/>
        </w:rPr>
        <w:t xml:space="preserve">Specialist palliative care workforce: </w:t>
      </w:r>
      <w:r>
        <w:t xml:space="preserve">medical staff (PAs) and nursing, AHP and other staff (WTE) </w:t>
      </w:r>
      <w:proofErr w:type="gramStart"/>
      <w:r>
        <w:t>at</w:t>
      </w:r>
      <w:proofErr w:type="gramEnd"/>
      <w:r>
        <w:t xml:space="preserve"> 31st March 2027. Include only the time dedicated to your hospital/site inpatient service. If the team covers several sites, split the figures by time spent per site.</w:t>
      </w:r>
    </w:p>
    <w:p w14:paraId="7ED164DF" w14:textId="77777777" w:rsidR="00354753" w:rsidRDefault="00881F75">
      <w:pPr>
        <w:numPr>
          <w:ilvl w:val="0"/>
          <w:numId w:val="17"/>
        </w:numPr>
        <w:spacing w:line="276" w:lineRule="auto"/>
      </w:pPr>
      <w:r>
        <w:rPr>
          <w:b/>
        </w:rPr>
        <w:t xml:space="preserve">Staff training: </w:t>
      </w:r>
      <w:r>
        <w:t>end of life care training available between 1st April 2026 and 31st March 2027, including induction, mandatory/priority training, communication skills training and other end of life care training, the staff groups covered and how often refresher training is required.</w:t>
      </w:r>
    </w:p>
    <w:p w14:paraId="4217CCB4" w14:textId="77777777" w:rsidR="00354753" w:rsidRDefault="00881F75">
      <w:pPr>
        <w:numPr>
          <w:ilvl w:val="0"/>
          <w:numId w:val="17"/>
        </w:numPr>
        <w:spacing w:line="276" w:lineRule="auto"/>
      </w:pPr>
      <w:r>
        <w:rPr>
          <w:b/>
        </w:rPr>
        <w:t xml:space="preserve">Care after death (new for 2027): </w:t>
      </w:r>
      <w:r>
        <w:t>whether your Board has reviewed progress against the NHS-relevant recommendations of the Fuller Inquiry and confirmed this through a Board Assurance Statement, whether the Chief Nurse holds explicit executive responsibility for safeguarding people after death, whether safeguarding training and policy cover people after death, and whether local incident reporting is used for breaches in respectful, dignified transfer of care at the end of life.</w:t>
      </w:r>
    </w:p>
    <w:p w14:paraId="09339E40" w14:textId="77777777" w:rsidR="00354753" w:rsidRDefault="00881F75">
      <w:pPr>
        <w:numPr>
          <w:ilvl w:val="0"/>
          <w:numId w:val="17"/>
        </w:numPr>
        <w:spacing w:line="276" w:lineRule="auto"/>
      </w:pPr>
      <w:r>
        <w:rPr>
          <w:b/>
        </w:rPr>
        <w:t xml:space="preserve">Quality improvement: </w:t>
      </w:r>
      <w:r>
        <w:t>quality improvement plans relating to end of life care, whether these have been shared with your ICB/Health Board, and a short description of the aims, changes made, learning and improvements.</w:t>
      </w:r>
    </w:p>
    <w:p w14:paraId="1C4ABE11" w14:textId="77777777" w:rsidR="00354753" w:rsidRDefault="00881F75">
      <w:pPr>
        <w:spacing w:line="276" w:lineRule="auto"/>
      </w:pPr>
      <w:r>
        <w:t xml:space="preserve">Some questions are best answered with input from colleagues outside the </w:t>
      </w:r>
      <w:proofErr w:type="gramStart"/>
      <w:r>
        <w:t>end of life</w:t>
      </w:r>
      <w:proofErr w:type="gramEnd"/>
      <w:r>
        <w:t xml:space="preserve"> care team, for example the Board member or lead for </w:t>
      </w:r>
      <w:proofErr w:type="gramStart"/>
      <w:r>
        <w:t>end of life</w:t>
      </w:r>
      <w:proofErr w:type="gramEnd"/>
      <w:r>
        <w:t xml:space="preserve"> care, the Chief Nurse, the safeguarding lead and the Head of Risk. We recommend downloading the data specification and gathering this information before entering data.</w:t>
      </w:r>
    </w:p>
    <w:p w14:paraId="7A6A4A38" w14:textId="77777777" w:rsidR="00354753" w:rsidRDefault="00881F75">
      <w:pPr>
        <w:spacing w:line="276" w:lineRule="auto"/>
      </w:pPr>
      <w:r>
        <w:rPr>
          <w:b/>
        </w:rPr>
        <w:t xml:space="preserve">Please </w:t>
      </w:r>
      <w:proofErr w:type="gramStart"/>
      <w:r>
        <w:rPr>
          <w:b/>
        </w:rPr>
        <w:t>note:</w:t>
      </w:r>
      <w:proofErr w:type="gramEnd"/>
      <w:r>
        <w:rPr>
          <w:b/>
        </w:rPr>
        <w:t xml:space="preserve"> </w:t>
      </w:r>
      <w:r>
        <w:t>responses to the quality improvement questions will be included in NACEL reports, and the organisation name and submission will be identified. Other providers may ask to contact you about your quality improvement work. The NACEL team will share the Project Lead's email address unless you tick the box in the data collection pages to opt out.</w:t>
      </w:r>
    </w:p>
    <w:p w14:paraId="69F5C2C5" w14:textId="77777777" w:rsidR="00CE0D85" w:rsidRDefault="00881F75">
      <w:pPr>
        <w:spacing w:line="276" w:lineRule="auto"/>
      </w:pPr>
      <w:r>
        <w:rPr>
          <w:b/>
        </w:rPr>
        <w:t xml:space="preserve">Data collection timescales: </w:t>
      </w:r>
    </w:p>
    <w:tbl>
      <w:tblPr>
        <w:tblW w:w="69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837"/>
        <w:gridCol w:w="3266"/>
        <w:gridCol w:w="1849"/>
      </w:tblGrid>
      <w:tr w:rsidR="00324724" w:rsidRPr="00AF2AFB" w14:paraId="31CE12C7" w14:textId="77777777" w:rsidTr="00324724">
        <w:trPr>
          <w:trHeight w:val="622"/>
        </w:trPr>
        <w:tc>
          <w:tcPr>
            <w:tcW w:w="1837" w:type="dxa"/>
            <w:shd w:val="clear" w:color="auto" w:fill="A8D08D" w:themeFill="accent6" w:themeFillTint="99"/>
            <w:tcMar>
              <w:top w:w="15" w:type="dxa"/>
              <w:left w:w="108" w:type="dxa"/>
              <w:bottom w:w="0" w:type="dxa"/>
              <w:right w:w="108" w:type="dxa"/>
            </w:tcMar>
            <w:vAlign w:val="center"/>
            <w:hideMark/>
          </w:tcPr>
          <w:p w14:paraId="143DE22D" w14:textId="77777777" w:rsidR="00324724" w:rsidRPr="00AF2AFB" w:rsidRDefault="00324724">
            <w:pPr>
              <w:spacing w:after="0" w:line="276" w:lineRule="auto"/>
              <w:jc w:val="center"/>
              <w:rPr>
                <w:rFonts w:ascii="Arial" w:eastAsia="Times New Roman" w:hAnsi="Arial" w:cs="Arial"/>
                <w:sz w:val="18"/>
                <w:szCs w:val="18"/>
                <w:lang w:eastAsia="zh-CN"/>
              </w:rPr>
            </w:pPr>
            <w:r>
              <w:rPr>
                <w:rFonts w:ascii="Calibri" w:eastAsia="Times New Roman" w:hAnsi="Calibri" w:cs="Calibri"/>
                <w:b/>
                <w:bCs/>
                <w:kern w:val="24"/>
                <w:sz w:val="18"/>
                <w:szCs w:val="18"/>
                <w:lang w:eastAsia="zh-CN"/>
              </w:rPr>
              <w:t>Data collection timescales</w:t>
            </w:r>
          </w:p>
        </w:tc>
        <w:tc>
          <w:tcPr>
            <w:tcW w:w="3266" w:type="dxa"/>
            <w:shd w:val="clear" w:color="auto" w:fill="A8D08D" w:themeFill="accent6" w:themeFillTint="99"/>
            <w:vAlign w:val="center"/>
          </w:tcPr>
          <w:p w14:paraId="251A8D53" w14:textId="77777777" w:rsidR="00324724" w:rsidRPr="00AF2AFB" w:rsidRDefault="00324724">
            <w:pPr>
              <w:spacing w:after="0" w:line="276" w:lineRule="auto"/>
              <w:jc w:val="center"/>
              <w:rPr>
                <w:rFonts w:ascii="Calibri" w:eastAsia="Times New Roman" w:hAnsi="Calibri" w:cs="Calibri"/>
                <w:b/>
                <w:bCs/>
                <w:kern w:val="24"/>
                <w:sz w:val="18"/>
                <w:szCs w:val="18"/>
                <w:lang w:eastAsia="zh-CN"/>
              </w:rPr>
            </w:pPr>
            <w:r>
              <w:rPr>
                <w:rFonts w:ascii="Calibri" w:eastAsia="Times New Roman" w:hAnsi="Calibri" w:cs="Calibri"/>
                <w:b/>
                <w:bCs/>
                <w:kern w:val="24"/>
                <w:sz w:val="18"/>
                <w:szCs w:val="18"/>
                <w:lang w:eastAsia="zh-CN"/>
              </w:rPr>
              <w:t>Period audited (date of death)</w:t>
            </w:r>
          </w:p>
        </w:tc>
        <w:tc>
          <w:tcPr>
            <w:tcW w:w="1849" w:type="dxa"/>
            <w:shd w:val="clear" w:color="auto" w:fill="A8D08D" w:themeFill="accent6" w:themeFillTint="99"/>
            <w:tcMar>
              <w:top w:w="15" w:type="dxa"/>
              <w:left w:w="108" w:type="dxa"/>
              <w:bottom w:w="0" w:type="dxa"/>
              <w:right w:w="108" w:type="dxa"/>
            </w:tcMar>
            <w:vAlign w:val="center"/>
            <w:hideMark/>
          </w:tcPr>
          <w:p w14:paraId="1FD4625B" w14:textId="77777777" w:rsidR="00324724" w:rsidRPr="00AF2AFB" w:rsidRDefault="00324724">
            <w:pPr>
              <w:spacing w:after="0" w:line="276" w:lineRule="auto"/>
              <w:jc w:val="center"/>
              <w:rPr>
                <w:rFonts w:ascii="Arial" w:eastAsia="Times New Roman" w:hAnsi="Arial" w:cs="Arial"/>
                <w:sz w:val="20"/>
                <w:szCs w:val="20"/>
                <w:lang w:eastAsia="zh-CN"/>
              </w:rPr>
            </w:pPr>
            <w:r>
              <w:rPr>
                <w:rFonts w:ascii="Calibri" w:eastAsia="Times New Roman" w:hAnsi="Calibri" w:cs="Calibri"/>
                <w:b/>
                <w:bCs/>
                <w:kern w:val="24"/>
                <w:sz w:val="20"/>
                <w:szCs w:val="20"/>
                <w:lang w:eastAsia="zh-CN"/>
              </w:rPr>
              <w:t>Reporting timescales</w:t>
            </w:r>
          </w:p>
        </w:tc>
      </w:tr>
      <w:tr w:rsidR="00324724" w:rsidRPr="00AF2AFB" w14:paraId="3A568FF4" w14:textId="77777777" w:rsidTr="00324724">
        <w:trPr>
          <w:trHeight w:val="450"/>
        </w:trPr>
        <w:tc>
          <w:tcPr>
            <w:tcW w:w="1837" w:type="dxa"/>
            <w:vMerge w:val="restart"/>
            <w:tcMar>
              <w:top w:w="15" w:type="dxa"/>
              <w:left w:w="69" w:type="dxa"/>
              <w:bottom w:w="0" w:type="dxa"/>
              <w:right w:w="69" w:type="dxa"/>
            </w:tcMar>
            <w:vAlign w:val="center"/>
            <w:hideMark/>
          </w:tcPr>
          <w:p w14:paraId="49B32E57" w14:textId="6B79FA2C" w:rsidR="00324724" w:rsidRPr="00AF2AFB" w:rsidRDefault="00324724">
            <w:pPr>
              <w:spacing w:after="0" w:line="276" w:lineRule="auto"/>
              <w:jc w:val="center"/>
              <w:rPr>
                <w:rFonts w:eastAsia="Times New Roman" w:cstheme="minorHAnsi"/>
                <w:sz w:val="18"/>
                <w:szCs w:val="18"/>
                <w:lang w:eastAsia="zh-CN"/>
              </w:rPr>
            </w:pPr>
            <w:r>
              <w:rPr>
                <w:rFonts w:eastAsia="Times New Roman" w:cstheme="minorHAnsi"/>
                <w:kern w:val="24"/>
                <w:sz w:val="18"/>
                <w:szCs w:val="18"/>
                <w:lang w:eastAsia="zh-CN"/>
              </w:rPr>
              <w:t>1</w:t>
            </w:r>
            <w:r>
              <w:rPr>
                <w:rFonts w:eastAsia="Times New Roman" w:cstheme="minorHAnsi"/>
                <w:kern w:val="24"/>
                <w:sz w:val="18"/>
                <w:szCs w:val="18"/>
                <w:vertAlign w:val="superscript"/>
                <w:lang w:eastAsia="zh-CN"/>
              </w:rPr>
              <w:t>st</w:t>
            </w:r>
            <w:r>
              <w:rPr>
                <w:rFonts w:eastAsia="Times New Roman" w:cstheme="minorHAnsi"/>
                <w:kern w:val="24"/>
                <w:sz w:val="18"/>
                <w:szCs w:val="18"/>
                <w:lang w:eastAsia="zh-CN"/>
              </w:rPr>
              <w:t xml:space="preserve"> July – 30</w:t>
            </w:r>
            <w:r>
              <w:rPr>
                <w:rFonts w:eastAsia="Times New Roman" w:cstheme="minorHAnsi"/>
                <w:kern w:val="24"/>
                <w:sz w:val="18"/>
                <w:szCs w:val="18"/>
                <w:vertAlign w:val="superscript"/>
                <w:lang w:eastAsia="zh-CN"/>
              </w:rPr>
              <w:t>th</w:t>
            </w:r>
            <w:r>
              <w:rPr>
                <w:rFonts w:eastAsia="Times New Roman" w:cstheme="minorHAnsi"/>
                <w:kern w:val="24"/>
                <w:sz w:val="18"/>
                <w:szCs w:val="18"/>
                <w:lang w:eastAsia="zh-CN"/>
              </w:rPr>
              <w:t xml:space="preserve"> September 2027</w:t>
            </w:r>
          </w:p>
        </w:tc>
        <w:tc>
          <w:tcPr>
            <w:tcW w:w="3266" w:type="dxa"/>
            <w:vMerge w:val="restart"/>
            <w:vAlign w:val="center"/>
          </w:tcPr>
          <w:p w14:paraId="7A059578" w14:textId="08508056" w:rsidR="00324724" w:rsidRPr="00AF2AFB" w:rsidRDefault="00481663">
            <w:pPr>
              <w:spacing w:after="0" w:line="276" w:lineRule="auto"/>
              <w:jc w:val="center"/>
              <w:rPr>
                <w:rFonts w:eastAsia="Times New Roman" w:cstheme="minorHAnsi"/>
                <w:sz w:val="18"/>
                <w:szCs w:val="18"/>
                <w:lang w:eastAsia="zh-CN"/>
              </w:rPr>
            </w:pPr>
            <w:r>
              <w:rPr>
                <w:rFonts w:eastAsia="Times New Roman" w:cstheme="minorHAnsi"/>
                <w:sz w:val="18"/>
                <w:szCs w:val="18"/>
                <w:lang w:eastAsia="zh-CN"/>
              </w:rPr>
              <w:t xml:space="preserve">Workforce </w:t>
            </w:r>
            <w:proofErr w:type="gramStart"/>
            <w:r>
              <w:rPr>
                <w:rFonts w:eastAsia="Times New Roman" w:cstheme="minorHAnsi"/>
                <w:sz w:val="18"/>
                <w:szCs w:val="18"/>
                <w:lang w:eastAsia="zh-CN"/>
              </w:rPr>
              <w:t>at</w:t>
            </w:r>
            <w:proofErr w:type="gramEnd"/>
            <w:r>
              <w:rPr>
                <w:rFonts w:eastAsia="Times New Roman" w:cstheme="minorHAnsi"/>
                <w:sz w:val="18"/>
                <w:szCs w:val="18"/>
                <w:lang w:eastAsia="zh-CN"/>
              </w:rPr>
              <w:t xml:space="preserve"> 31</w:t>
            </w:r>
            <w:r>
              <w:rPr>
                <w:rFonts w:eastAsia="Times New Roman" w:cstheme="minorHAnsi"/>
                <w:sz w:val="18"/>
                <w:szCs w:val="18"/>
                <w:vertAlign w:val="superscript"/>
                <w:lang w:eastAsia="zh-CN"/>
              </w:rPr>
              <w:t>st</w:t>
            </w:r>
            <w:r>
              <w:rPr>
                <w:rFonts w:eastAsia="Times New Roman" w:cstheme="minorHAnsi"/>
                <w:sz w:val="18"/>
                <w:szCs w:val="18"/>
                <w:lang w:eastAsia="zh-CN"/>
              </w:rPr>
              <w:t xml:space="preserve"> March 2027; training 1</w:t>
            </w:r>
            <w:r>
              <w:rPr>
                <w:rFonts w:eastAsia="Times New Roman" w:cstheme="minorHAnsi"/>
                <w:sz w:val="18"/>
                <w:szCs w:val="18"/>
                <w:vertAlign w:val="superscript"/>
                <w:lang w:eastAsia="zh-CN"/>
              </w:rPr>
              <w:t>st</w:t>
            </w:r>
            <w:r>
              <w:rPr>
                <w:rFonts w:eastAsia="Times New Roman" w:cstheme="minorHAnsi"/>
                <w:sz w:val="18"/>
                <w:szCs w:val="18"/>
                <w:lang w:eastAsia="zh-CN"/>
              </w:rPr>
              <w:t xml:space="preserve"> April 2026 - 31</w:t>
            </w:r>
            <w:r>
              <w:rPr>
                <w:rFonts w:eastAsia="Times New Roman" w:cstheme="minorHAnsi"/>
                <w:sz w:val="18"/>
                <w:szCs w:val="18"/>
                <w:vertAlign w:val="superscript"/>
                <w:lang w:eastAsia="zh-CN"/>
              </w:rPr>
              <w:t>st</w:t>
            </w:r>
            <w:r>
              <w:rPr>
                <w:rFonts w:eastAsia="Times New Roman" w:cstheme="minorHAnsi"/>
                <w:sz w:val="18"/>
                <w:szCs w:val="18"/>
                <w:lang w:eastAsia="zh-CN"/>
              </w:rPr>
              <w:t xml:space="preserve"> March 2027</w:t>
            </w:r>
          </w:p>
        </w:tc>
        <w:tc>
          <w:tcPr>
            <w:tcW w:w="1849" w:type="dxa"/>
            <w:vMerge w:val="restart"/>
            <w:tcMar>
              <w:top w:w="15" w:type="dxa"/>
              <w:left w:w="69" w:type="dxa"/>
              <w:bottom w:w="0" w:type="dxa"/>
              <w:right w:w="69" w:type="dxa"/>
            </w:tcMar>
            <w:vAlign w:val="center"/>
            <w:hideMark/>
          </w:tcPr>
          <w:p w14:paraId="27FD4541" w14:textId="13C4C953" w:rsidR="00324724" w:rsidRPr="00AA58D8" w:rsidRDefault="00324724">
            <w:pPr>
              <w:spacing w:after="0" w:line="276" w:lineRule="auto"/>
              <w:jc w:val="center"/>
              <w:rPr>
                <w:rFonts w:eastAsia="Times New Roman" w:cstheme="minorHAnsi"/>
                <w:sz w:val="18"/>
                <w:szCs w:val="18"/>
                <w:lang w:eastAsia="zh-CN"/>
              </w:rPr>
            </w:pPr>
            <w:r>
              <w:rPr>
                <w:rFonts w:eastAsia="Times New Roman" w:cstheme="minorHAnsi"/>
                <w:kern w:val="24"/>
                <w:sz w:val="18"/>
                <w:szCs w:val="18"/>
                <w:lang w:eastAsia="zh-CN"/>
              </w:rPr>
              <w:t>Live October 2027</w:t>
            </w:r>
          </w:p>
        </w:tc>
      </w:tr>
      <w:tr w:rsidR="00324724" w:rsidRPr="00AF2AFB" w14:paraId="7B83A1FC" w14:textId="77777777" w:rsidTr="00324724">
        <w:trPr>
          <w:trHeight w:val="253"/>
        </w:trPr>
        <w:tc>
          <w:tcPr>
            <w:tcW w:w="1837" w:type="dxa"/>
            <w:vMerge/>
            <w:tcMar>
              <w:top w:w="15" w:type="dxa"/>
              <w:left w:w="69" w:type="dxa"/>
              <w:bottom w:w="0" w:type="dxa"/>
              <w:right w:w="69" w:type="dxa"/>
            </w:tcMar>
            <w:vAlign w:val="center"/>
          </w:tcPr>
          <w:p w14:paraId="25DD461B" w14:textId="77777777" w:rsidR="00324724" w:rsidRPr="00AF2AFB" w:rsidRDefault="00324724">
            <w:pPr>
              <w:spacing w:after="0" w:line="276" w:lineRule="auto"/>
              <w:jc w:val="center"/>
              <w:rPr>
                <w:rFonts w:eastAsia="Times New Roman" w:cstheme="minorHAnsi"/>
                <w:kern w:val="24"/>
                <w:sz w:val="18"/>
                <w:szCs w:val="18"/>
                <w:lang w:eastAsia="zh-CN"/>
              </w:rPr>
            </w:pPr>
          </w:p>
        </w:tc>
        <w:tc>
          <w:tcPr>
            <w:tcW w:w="3266" w:type="dxa"/>
            <w:vMerge/>
            <w:vAlign w:val="center"/>
          </w:tcPr>
          <w:p w14:paraId="34D731B5" w14:textId="673CD01A" w:rsidR="00324724" w:rsidRPr="00AF2AFB" w:rsidRDefault="00324724">
            <w:pPr>
              <w:spacing w:after="0" w:line="276" w:lineRule="auto"/>
              <w:jc w:val="center"/>
              <w:rPr>
                <w:rFonts w:eastAsia="Times New Roman" w:cstheme="minorHAnsi"/>
                <w:sz w:val="18"/>
                <w:szCs w:val="18"/>
                <w:lang w:eastAsia="zh-CN"/>
              </w:rPr>
            </w:pPr>
          </w:p>
        </w:tc>
        <w:tc>
          <w:tcPr>
            <w:tcW w:w="1849" w:type="dxa"/>
            <w:vMerge/>
            <w:tcMar>
              <w:top w:w="15" w:type="dxa"/>
              <w:left w:w="69" w:type="dxa"/>
              <w:bottom w:w="0" w:type="dxa"/>
              <w:right w:w="69" w:type="dxa"/>
            </w:tcMar>
            <w:vAlign w:val="center"/>
          </w:tcPr>
          <w:p w14:paraId="4FE767BD" w14:textId="77777777" w:rsidR="00324724" w:rsidRPr="00AF2AFB" w:rsidRDefault="00324724">
            <w:pPr>
              <w:spacing w:after="0" w:line="276" w:lineRule="auto"/>
              <w:jc w:val="center"/>
              <w:rPr>
                <w:rFonts w:eastAsia="Times New Roman" w:cstheme="minorHAnsi"/>
                <w:kern w:val="24"/>
                <w:sz w:val="20"/>
                <w:szCs w:val="20"/>
                <w:highlight w:val="yellow"/>
                <w:lang w:eastAsia="zh-CN"/>
              </w:rPr>
            </w:pPr>
          </w:p>
        </w:tc>
      </w:tr>
      <w:tr w:rsidR="00324724" w:rsidRPr="00AF2AFB" w14:paraId="068B76BD" w14:textId="77777777" w:rsidTr="00324724">
        <w:trPr>
          <w:trHeight w:val="253"/>
        </w:trPr>
        <w:tc>
          <w:tcPr>
            <w:tcW w:w="1837" w:type="dxa"/>
            <w:vMerge/>
            <w:tcMar>
              <w:top w:w="15" w:type="dxa"/>
              <w:left w:w="69" w:type="dxa"/>
              <w:bottom w:w="0" w:type="dxa"/>
              <w:right w:w="69" w:type="dxa"/>
            </w:tcMar>
            <w:vAlign w:val="center"/>
          </w:tcPr>
          <w:p w14:paraId="38DF981C" w14:textId="77777777" w:rsidR="00324724" w:rsidRPr="00AF2AFB" w:rsidRDefault="00324724">
            <w:pPr>
              <w:spacing w:after="0" w:line="276" w:lineRule="auto"/>
              <w:jc w:val="center"/>
              <w:rPr>
                <w:rFonts w:eastAsia="Times New Roman" w:cstheme="minorHAnsi"/>
                <w:kern w:val="24"/>
                <w:sz w:val="18"/>
                <w:szCs w:val="18"/>
                <w:lang w:eastAsia="zh-CN"/>
              </w:rPr>
            </w:pPr>
          </w:p>
        </w:tc>
        <w:tc>
          <w:tcPr>
            <w:tcW w:w="3266" w:type="dxa"/>
            <w:vMerge/>
            <w:vAlign w:val="center"/>
          </w:tcPr>
          <w:p w14:paraId="74DB3206" w14:textId="214AB80A" w:rsidR="00324724" w:rsidRPr="00AF2AFB" w:rsidRDefault="00324724">
            <w:pPr>
              <w:spacing w:after="0" w:line="276" w:lineRule="auto"/>
              <w:jc w:val="center"/>
              <w:rPr>
                <w:rFonts w:eastAsia="Times New Roman" w:cstheme="minorHAnsi"/>
                <w:sz w:val="18"/>
                <w:szCs w:val="18"/>
                <w:lang w:eastAsia="zh-CN"/>
              </w:rPr>
            </w:pPr>
          </w:p>
        </w:tc>
        <w:tc>
          <w:tcPr>
            <w:tcW w:w="1849" w:type="dxa"/>
            <w:vMerge/>
            <w:tcMar>
              <w:top w:w="15" w:type="dxa"/>
              <w:left w:w="69" w:type="dxa"/>
              <w:bottom w:w="0" w:type="dxa"/>
              <w:right w:w="69" w:type="dxa"/>
            </w:tcMar>
            <w:vAlign w:val="center"/>
          </w:tcPr>
          <w:p w14:paraId="626CE49E" w14:textId="77777777" w:rsidR="00324724" w:rsidRPr="00AF2AFB" w:rsidRDefault="00324724">
            <w:pPr>
              <w:spacing w:after="0" w:line="276" w:lineRule="auto"/>
              <w:ind w:left="274"/>
              <w:jc w:val="center"/>
              <w:rPr>
                <w:rFonts w:eastAsia="Times New Roman" w:cstheme="minorHAnsi"/>
                <w:kern w:val="24"/>
                <w:sz w:val="20"/>
                <w:szCs w:val="20"/>
                <w:lang w:eastAsia="zh-CN"/>
              </w:rPr>
            </w:pPr>
          </w:p>
        </w:tc>
      </w:tr>
    </w:tbl>
    <w:p w14:paraId="5AAE4173" w14:textId="043114C0" w:rsidR="00354753" w:rsidRDefault="00354753">
      <w:pPr>
        <w:spacing w:line="276" w:lineRule="auto"/>
      </w:pPr>
    </w:p>
    <w:p w14:paraId="6A11C366" w14:textId="77777777" w:rsidR="00354753" w:rsidRPr="00CE0D85" w:rsidRDefault="00881F75">
      <w:pPr>
        <w:spacing w:line="276" w:lineRule="auto"/>
        <w:rPr>
          <w:b/>
          <w:bCs/>
          <w:i/>
          <w:iCs/>
          <w:color w:val="375623" w:themeColor="accent5"/>
        </w:rPr>
      </w:pPr>
      <w:r>
        <w:rPr>
          <w:b/>
          <w:bCs/>
          <w:i/>
          <w:iCs/>
          <w:color w:val="375623" w:themeColor="accent5"/>
        </w:rPr>
        <w:t>Non-participation in the Hospital/Site Overview will result in alarm-level outlier status (see section 10).</w:t>
      </w:r>
    </w:p>
    <w:p w14:paraId="366EED1C" w14:textId="1CAFF912" w:rsidR="00214010" w:rsidRPr="009657BB" w:rsidRDefault="009C1607" w:rsidP="006E210B">
      <w:pPr>
        <w:pStyle w:val="Heading2"/>
        <w:spacing w:line="276" w:lineRule="auto"/>
        <w:rPr>
          <w:rFonts w:asciiTheme="minorHAnsi" w:hAnsiTheme="minorHAnsi" w:cstheme="minorHAnsi"/>
          <w:b/>
          <w:bCs/>
          <w:color w:val="375623" w:themeColor="accent1"/>
          <w:sz w:val="24"/>
          <w:szCs w:val="24"/>
        </w:rPr>
      </w:pPr>
      <w:bookmarkStart w:id="29" w:name="_Toc212207540"/>
      <w:r>
        <w:rPr>
          <w:rFonts w:asciiTheme="minorHAnsi" w:hAnsiTheme="minorHAnsi" w:cstheme="minorHAnsi"/>
          <w:b/>
          <w:bCs/>
          <w:color w:val="375623" w:themeColor="accent1"/>
          <w:sz w:val="24"/>
          <w:szCs w:val="24"/>
        </w:rPr>
        <w:t>Annual Death Data Collection</w:t>
      </w:r>
      <w:bookmarkEnd w:id="29"/>
    </w:p>
    <w:p w14:paraId="4381EBA0" w14:textId="7D20FFE7" w:rsidR="009C1607" w:rsidRPr="00AF2AFB" w:rsidRDefault="006D1B46" w:rsidP="006E210B">
      <w:pPr>
        <w:spacing w:line="276" w:lineRule="auto"/>
      </w:pPr>
      <w:r>
        <w:t>This audit element is intended to gather information on the number of deaths in each Trust/Health Board and report case ascertainment. This audit element will be completed in January 2028 – February 2028. It will not be possible to enter data for this element before the end of 2027.</w:t>
      </w:r>
    </w:p>
    <w:p w14:paraId="46820C1A" w14:textId="77777777" w:rsidR="00354753" w:rsidRDefault="00881F75">
      <w:pPr>
        <w:spacing w:line="276" w:lineRule="auto"/>
      </w:pPr>
      <w:r>
        <w:t>For NACEL 2027 the Annual Death Data Collection asks:</w:t>
      </w:r>
    </w:p>
    <w:p w14:paraId="3F11561B" w14:textId="77777777" w:rsidR="00354753" w:rsidRDefault="00881F75">
      <w:pPr>
        <w:numPr>
          <w:ilvl w:val="0"/>
          <w:numId w:val="17"/>
        </w:numPr>
        <w:spacing w:line="276" w:lineRule="auto"/>
      </w:pPr>
      <w:r>
        <w:t>the number of adult (18+) deaths within your hospital/site between 1st January 2027 and 31st December 2027, excluding deaths of under 18s, deaths within an Emergency Department and maternal deaths. Report the figure for the scope of your registered submission.</w:t>
      </w:r>
    </w:p>
    <w:p w14:paraId="17212659" w14:textId="77777777" w:rsidR="00354753" w:rsidRDefault="00881F75">
      <w:pPr>
        <w:numPr>
          <w:ilvl w:val="0"/>
          <w:numId w:val="17"/>
        </w:numPr>
        <w:spacing w:line="276" w:lineRule="auto"/>
      </w:pPr>
      <w:r>
        <w:t>whether your hospital/site took part in the full NACEL Bereavement Survey during 2027.</w:t>
      </w:r>
    </w:p>
    <w:p w14:paraId="6DC8E451" w14:textId="77777777" w:rsidR="00354753" w:rsidRDefault="00881F75">
      <w:pPr>
        <w:numPr>
          <w:ilvl w:val="0"/>
          <w:numId w:val="17"/>
        </w:numPr>
        <w:spacing w:line="276" w:lineRule="auto"/>
      </w:pPr>
      <w:r>
        <w:t>if not, whether your hospital/site took part partially, by including NACEL Bereavement Survey questions in a local survey and sharing the data with NACEL (see Alternative Local Collection).</w:t>
      </w:r>
    </w:p>
    <w:p w14:paraId="4EEBFC46" w14:textId="77777777" w:rsidR="00354753" w:rsidRDefault="00881F75">
      <w:pPr>
        <w:spacing w:line="276" w:lineRule="auto"/>
      </w:pPr>
      <w:r>
        <w:t>This element is mandatory under the Management of Outliers policy. Organisations that are eligible to submit but provide no data will be treated as alarm-level outliers. The death count is an aggregate figure, so the National Data Opt-Out does not apply.</w:t>
      </w:r>
    </w:p>
    <w:p w14:paraId="7992FC1A" w14:textId="5FA58E12" w:rsidR="00E56C34" w:rsidRPr="00AF2AFB" w:rsidRDefault="00BA51E3" w:rsidP="006E210B">
      <w:pPr>
        <w:pStyle w:val="Heading1"/>
        <w:numPr>
          <w:ilvl w:val="0"/>
          <w:numId w:val="45"/>
        </w:numPr>
        <w:spacing w:line="276" w:lineRule="auto"/>
        <w:rPr>
          <w:rFonts w:asciiTheme="minorHAnsi" w:hAnsiTheme="minorHAnsi" w:cstheme="minorHAnsi"/>
          <w:b/>
          <w:bCs/>
          <w:color w:val="385623" w:themeColor="accent6" w:themeShade="80"/>
          <w:sz w:val="24"/>
          <w:szCs w:val="24"/>
        </w:rPr>
      </w:pPr>
      <w:bookmarkStart w:id="30" w:name="_Toc212207541"/>
      <w:r>
        <w:rPr>
          <w:rFonts w:asciiTheme="minorHAnsi" w:hAnsiTheme="minorHAnsi" w:cstheme="minorHAnsi"/>
          <w:b/>
          <w:bCs/>
          <w:color w:val="385623" w:themeColor="accent6" w:themeShade="80"/>
          <w:sz w:val="24"/>
          <w:szCs w:val="24"/>
        </w:rPr>
        <w:t>Finalising data collection</w:t>
      </w:r>
      <w:bookmarkEnd w:id="30"/>
    </w:p>
    <w:p w14:paraId="453069E9" w14:textId="77777777" w:rsidR="00B26C0B" w:rsidRDefault="00B26C0B" w:rsidP="006E210B">
      <w:pPr>
        <w:pStyle w:val="ListParagraph"/>
        <w:numPr>
          <w:ilvl w:val="0"/>
          <w:numId w:val="36"/>
        </w:numPr>
        <w:spacing w:line="276" w:lineRule="auto"/>
      </w:pPr>
      <w:r>
        <w:t>When the data collection period ends, all data collection pages will be locked.</w:t>
      </w:r>
    </w:p>
    <w:p w14:paraId="4461D143" w14:textId="6D5BDF37" w:rsidR="00B26C0B" w:rsidRDefault="00B26C0B" w:rsidP="006E210B">
      <w:pPr>
        <w:pStyle w:val="ListParagraph"/>
        <w:numPr>
          <w:ilvl w:val="0"/>
          <w:numId w:val="36"/>
        </w:numPr>
        <w:spacing w:line="276" w:lineRule="auto"/>
      </w:pPr>
      <w:r>
        <w:t>The submitted data will be securely stored in the NHSBN database for analysis and reporting in the Data and Improvement Tool.</w:t>
      </w:r>
    </w:p>
    <w:p w14:paraId="12779AF3" w14:textId="77777777" w:rsidR="00B26C0B" w:rsidRDefault="00B26C0B" w:rsidP="006E210B">
      <w:pPr>
        <w:pStyle w:val="ListParagraph"/>
        <w:numPr>
          <w:ilvl w:val="0"/>
          <w:numId w:val="36"/>
        </w:numPr>
        <w:spacing w:line="276" w:lineRule="auto"/>
      </w:pPr>
      <w:r>
        <w:t>After the deadline, you cannot add, edit, or delete any data.</w:t>
      </w:r>
    </w:p>
    <w:p w14:paraId="01DB5712" w14:textId="2D6839A1" w:rsidR="00B26C0B" w:rsidRPr="00B26C0B" w:rsidRDefault="00B26C0B" w:rsidP="006E210B">
      <w:pPr>
        <w:pStyle w:val="ListParagraph"/>
        <w:numPr>
          <w:ilvl w:val="0"/>
          <w:numId w:val="36"/>
        </w:numPr>
        <w:spacing w:line="276" w:lineRule="auto"/>
      </w:pPr>
      <w:r>
        <w:t>There will be no extensions to the data collection period.</w:t>
      </w:r>
    </w:p>
    <w:p w14:paraId="70852284" w14:textId="22FA40CC" w:rsidR="006C474F" w:rsidRDefault="006C474F" w:rsidP="006E210B">
      <w:pPr>
        <w:spacing w:line="276" w:lineRule="auto"/>
        <w:rPr>
          <w:b/>
          <w:bCs/>
        </w:rPr>
      </w:pPr>
      <w:r>
        <w:rPr>
          <w:b/>
          <w:bCs/>
        </w:rPr>
        <w:t>Data accuracy of the Case Note Review and Hospital/Site Overview</w:t>
      </w:r>
    </w:p>
    <w:p w14:paraId="0CA5DD93" w14:textId="77777777" w:rsidR="002D0C74" w:rsidRPr="002D0C74" w:rsidRDefault="002D0C74" w:rsidP="006E210B">
      <w:pPr>
        <w:spacing w:line="276" w:lineRule="auto"/>
      </w:pPr>
      <w:r>
        <w:t>Organisations should actively manage data quality throughout the year to ensure timely and accurate reporting.</w:t>
      </w:r>
    </w:p>
    <w:p w14:paraId="5232090C" w14:textId="77777777" w:rsidR="002D0C74" w:rsidRPr="002D0C74" w:rsidRDefault="002D0C74" w:rsidP="006E210B">
      <w:pPr>
        <w:numPr>
          <w:ilvl w:val="0"/>
          <w:numId w:val="37"/>
        </w:numPr>
        <w:spacing w:line="276" w:lineRule="auto"/>
      </w:pPr>
      <w:r>
        <w:t>The NACEL project lead should provide clinical sign-off before each data deadline to confirm the data is correct.</w:t>
      </w:r>
    </w:p>
    <w:p w14:paraId="1BC6C03E" w14:textId="3ECD497F" w:rsidR="00704261" w:rsidRPr="006F3A57" w:rsidRDefault="00704261" w:rsidP="006E210B">
      <w:pPr>
        <w:numPr>
          <w:ilvl w:val="0"/>
          <w:numId w:val="37"/>
        </w:numPr>
        <w:spacing w:line="276" w:lineRule="auto"/>
      </w:pPr>
      <w:r>
        <w:rPr>
          <w:rFonts w:cstheme="minorHAnsi"/>
        </w:rPr>
        <w:t>If you believe there is an error in your data, please contact the NACEL Support Team as soon as possible to amend to your submitted data.</w:t>
      </w:r>
    </w:p>
    <w:p w14:paraId="0149E655" w14:textId="77777777" w:rsidR="006F3A57" w:rsidRDefault="006F3A57" w:rsidP="006E210B">
      <w:pPr>
        <w:numPr>
          <w:ilvl w:val="0"/>
          <w:numId w:val="37"/>
        </w:numPr>
        <w:spacing w:line="276" w:lineRule="auto"/>
      </w:pPr>
      <w:r>
        <w:t>Once the Case Note Review data collection closes in January 2028 no amendments can be made.</w:t>
      </w:r>
    </w:p>
    <w:p w14:paraId="4ED03FFD" w14:textId="77777777" w:rsidR="002D0C74" w:rsidRPr="002D0C74" w:rsidRDefault="002D0C74" w:rsidP="006E210B">
      <w:pPr>
        <w:spacing w:line="276" w:lineRule="auto"/>
      </w:pPr>
      <w:r>
        <w:lastRenderedPageBreak/>
        <w:t>The Case Note Review findings will be published in April 2027 and updated live thereafter. Teams are encouraged to regularly review their data in the Data and Improvement Tool, identify any issues early, and correct them before the final deadline.</w:t>
      </w:r>
    </w:p>
    <w:p w14:paraId="2633B4FD" w14:textId="77777777" w:rsidR="002D0C74" w:rsidRPr="002D0C74" w:rsidRDefault="002D0C74" w:rsidP="006E210B">
      <w:pPr>
        <w:spacing w:line="276" w:lineRule="auto"/>
      </w:pPr>
      <w:r>
        <w:t>Throughout the year, the NACEL team may contact organisations to review or verify responses. This helps improve data quality and minimise last-minute changes.</w:t>
      </w:r>
    </w:p>
    <w:p w14:paraId="525903E0" w14:textId="7BDD9DBB" w:rsidR="002D0C74" w:rsidRDefault="002D0C74" w:rsidP="006E210B">
      <w:pPr>
        <w:tabs>
          <w:tab w:val="num" w:pos="720"/>
        </w:tabs>
        <w:spacing w:line="276" w:lineRule="auto"/>
      </w:pPr>
      <w:r>
        <w:t>After the final submission, the NACEL team will review the dataset for data errors and conduct the outlier analysis</w:t>
      </w:r>
    </w:p>
    <w:p w14:paraId="58970944" w14:textId="47259EFC" w:rsidR="0052481F" w:rsidRPr="00AF2AFB" w:rsidRDefault="0052481F" w:rsidP="006E210B">
      <w:pPr>
        <w:pStyle w:val="Heading1"/>
        <w:numPr>
          <w:ilvl w:val="0"/>
          <w:numId w:val="45"/>
        </w:numPr>
        <w:spacing w:line="276" w:lineRule="auto"/>
        <w:rPr>
          <w:rFonts w:asciiTheme="minorHAnsi" w:hAnsiTheme="minorHAnsi" w:cstheme="minorHAnsi"/>
          <w:b/>
          <w:bCs/>
          <w:color w:val="385623" w:themeColor="accent6" w:themeShade="80"/>
          <w:sz w:val="24"/>
          <w:szCs w:val="24"/>
        </w:rPr>
      </w:pPr>
      <w:bookmarkStart w:id="31" w:name="_Toc212207542"/>
      <w:r>
        <w:rPr>
          <w:rFonts w:asciiTheme="minorHAnsi" w:hAnsiTheme="minorHAnsi" w:cstheme="minorHAnsi"/>
          <w:b/>
          <w:bCs/>
          <w:color w:val="385623" w:themeColor="accent6" w:themeShade="80"/>
          <w:sz w:val="24"/>
          <w:szCs w:val="24"/>
        </w:rPr>
        <w:t>Data and Improvement Tool</w:t>
      </w:r>
      <w:bookmarkEnd w:id="31"/>
    </w:p>
    <w:p w14:paraId="1B39A152" w14:textId="77777777" w:rsidR="00A87B97" w:rsidRPr="00AF2AFB" w:rsidRDefault="00A87B97" w:rsidP="006E210B">
      <w:pPr>
        <w:pStyle w:val="ListParagraph"/>
        <w:spacing w:line="276" w:lineRule="auto"/>
        <w:ind w:left="0"/>
        <w:rPr>
          <w:rFonts w:cstheme="minorHAnsi"/>
        </w:rPr>
      </w:pPr>
      <w:bookmarkStart w:id="32" w:name="_Hlk59021434"/>
    </w:p>
    <w:p w14:paraId="04FB5AFF" w14:textId="5B441603" w:rsidR="003E7682" w:rsidRPr="00AF2AFB" w:rsidRDefault="00A87B97" w:rsidP="006E210B">
      <w:pPr>
        <w:pStyle w:val="ListParagraph"/>
        <w:spacing w:line="276" w:lineRule="auto"/>
        <w:ind w:left="0"/>
        <w:rPr>
          <w:rFonts w:cstheme="minorHAnsi"/>
        </w:rPr>
      </w:pPr>
      <w:r>
        <w:rPr>
          <w:rFonts w:cstheme="minorHAnsi"/>
        </w:rPr>
        <w:t xml:space="preserve">The NACEL Data and Improvement Tool (DIT) is a user-friendly, interactive reporting tool which allows organisations participating in NACEL to view and interrogate their results from each audit element. Available here: </w:t>
      </w:r>
      <w:hyperlink r:id="rId34" w:history="1">
        <w:r>
          <w:rPr>
            <w:rStyle w:val="Hyperlink"/>
            <w:rFonts w:cstheme="minorHAnsi"/>
          </w:rPr>
          <w:t>https://data.nacel.nhs.uk/</w:t>
        </w:r>
      </w:hyperlink>
      <w:r>
        <w:rPr>
          <w:rFonts w:cstheme="minorHAnsi"/>
        </w:rPr>
        <w:t xml:space="preserve"> </w:t>
      </w:r>
    </w:p>
    <w:p w14:paraId="61E36B2A" w14:textId="77777777" w:rsidR="000D6239" w:rsidRPr="00AF2AFB" w:rsidRDefault="000D6239" w:rsidP="006E210B">
      <w:pPr>
        <w:pStyle w:val="ListParagraph"/>
        <w:spacing w:line="276" w:lineRule="auto"/>
        <w:ind w:left="0"/>
        <w:rPr>
          <w:rFonts w:cstheme="minorHAnsi"/>
        </w:rPr>
      </w:pPr>
    </w:p>
    <w:p w14:paraId="5D212AF9" w14:textId="77777777" w:rsidR="005E5659" w:rsidRPr="0015257D" w:rsidRDefault="000A1F92" w:rsidP="006E210B">
      <w:pPr>
        <w:pStyle w:val="ListParagraph"/>
        <w:numPr>
          <w:ilvl w:val="0"/>
          <w:numId w:val="39"/>
        </w:numPr>
        <w:spacing w:line="276" w:lineRule="auto"/>
        <w:rPr>
          <w:rFonts w:cstheme="minorHAnsi"/>
        </w:rPr>
      </w:pPr>
      <w:r>
        <w:rPr>
          <w:rFonts w:cstheme="minorHAnsi"/>
        </w:rPr>
        <w:t xml:space="preserve">Features of the tool, including filters, viewing results by quarters, and benchmarked charts, provide a more detailed understanding of results and make it possible to track changes over time. </w:t>
      </w:r>
    </w:p>
    <w:p w14:paraId="6E96FB45" w14:textId="77777777" w:rsidR="005E5659" w:rsidRDefault="002F016C" w:rsidP="006E210B">
      <w:pPr>
        <w:pStyle w:val="ListParagraph"/>
        <w:numPr>
          <w:ilvl w:val="0"/>
          <w:numId w:val="39"/>
        </w:numPr>
        <w:spacing w:line="276" w:lineRule="auto"/>
        <w:rPr>
          <w:rFonts w:cstheme="minorHAnsi"/>
          <w:bCs/>
          <w:iCs/>
        </w:rPr>
      </w:pPr>
      <w:r>
        <w:rPr>
          <w:rFonts w:cstheme="minorHAnsi"/>
          <w:bCs/>
          <w:iCs/>
        </w:rPr>
        <w:t xml:space="preserve">Access to the DIT is available to users from organisations participating in NACEL, including NACEL Northern Ireland, as well as users from ICBs in England. </w:t>
      </w:r>
    </w:p>
    <w:p w14:paraId="75D45BE1" w14:textId="675AE418" w:rsidR="00411313" w:rsidRPr="0015257D" w:rsidRDefault="00411313" w:rsidP="006E210B">
      <w:pPr>
        <w:pStyle w:val="ListParagraph"/>
        <w:numPr>
          <w:ilvl w:val="0"/>
          <w:numId w:val="39"/>
        </w:numPr>
        <w:spacing w:line="276" w:lineRule="auto"/>
        <w:rPr>
          <w:rFonts w:cstheme="minorHAnsi"/>
        </w:rPr>
      </w:pPr>
      <w:r>
        <w:rPr>
          <w:rFonts w:cstheme="minorHAnsi"/>
        </w:rPr>
        <w:t xml:space="preserve">For more information on how to access and use the Data and Improvement Tool, please visit the </w:t>
      </w:r>
      <w:hyperlink r:id="rId35" w:history="1">
        <w:r>
          <w:rPr>
            <w:rStyle w:val="Hyperlink"/>
            <w:rFonts w:cstheme="minorHAnsi"/>
          </w:rPr>
          <w:t>DIT Guidance page</w:t>
        </w:r>
      </w:hyperlink>
      <w:r>
        <w:rPr>
          <w:rFonts w:cstheme="minorHAnsi"/>
        </w:rPr>
        <w:t>.</w:t>
      </w:r>
    </w:p>
    <w:p w14:paraId="5808F114" w14:textId="77777777" w:rsidR="00085E96" w:rsidRDefault="00085E96" w:rsidP="006E210B">
      <w:pPr>
        <w:pStyle w:val="Heading1"/>
        <w:numPr>
          <w:ilvl w:val="0"/>
          <w:numId w:val="45"/>
        </w:numPr>
        <w:spacing w:line="276" w:lineRule="auto"/>
        <w:rPr>
          <w:rFonts w:asciiTheme="minorHAnsi" w:hAnsiTheme="minorHAnsi" w:cstheme="minorHAnsi"/>
          <w:b/>
          <w:bCs/>
          <w:color w:val="385623" w:themeColor="accent6" w:themeShade="80"/>
          <w:sz w:val="24"/>
          <w:szCs w:val="24"/>
        </w:rPr>
      </w:pPr>
      <w:bookmarkStart w:id="33" w:name="_Engagement"/>
      <w:bookmarkStart w:id="34" w:name="_Toc212207543"/>
      <w:bookmarkEnd w:id="33"/>
      <w:r>
        <w:rPr>
          <w:rFonts w:asciiTheme="minorHAnsi" w:hAnsiTheme="minorHAnsi" w:cstheme="minorHAnsi"/>
          <w:b/>
          <w:bCs/>
          <w:color w:val="385623" w:themeColor="accent6" w:themeShade="80"/>
          <w:sz w:val="24"/>
          <w:szCs w:val="24"/>
        </w:rPr>
        <w:t>Engagement</w:t>
      </w:r>
      <w:bookmarkEnd w:id="34"/>
    </w:p>
    <w:p w14:paraId="2593788F" w14:textId="77777777" w:rsidR="00EC6AF3" w:rsidRPr="00EC6AF3" w:rsidRDefault="00EC6AF3" w:rsidP="006E210B">
      <w:pPr>
        <w:spacing w:line="276" w:lineRule="auto"/>
      </w:pPr>
      <w:r>
        <w:t>The NACEL Project Lead should ensure the right colleagues are involved to support data collection and drive improvement from NACEL findings. This includes:</w:t>
      </w:r>
    </w:p>
    <w:p w14:paraId="2584DA05" w14:textId="77777777" w:rsidR="00EC6AF3" w:rsidRPr="00EC6AF3" w:rsidRDefault="00EC6AF3" w:rsidP="006E210B">
      <w:pPr>
        <w:numPr>
          <w:ilvl w:val="0"/>
          <w:numId w:val="40"/>
        </w:numPr>
        <w:spacing w:line="276" w:lineRule="auto"/>
      </w:pPr>
      <w:r>
        <w:t>Informing your Clinical Audit Team about NACEL participation.</w:t>
      </w:r>
    </w:p>
    <w:p w14:paraId="74ACC403" w14:textId="77777777" w:rsidR="00EC6AF3" w:rsidRPr="00EC6AF3" w:rsidRDefault="00EC6AF3" w:rsidP="006E210B">
      <w:pPr>
        <w:numPr>
          <w:ilvl w:val="0"/>
          <w:numId w:val="40"/>
        </w:numPr>
        <w:spacing w:line="276" w:lineRule="auto"/>
      </w:pPr>
      <w:r>
        <w:t>Working with Information/Business Intelligence teams to generate lists of eligible patients for the Case Note Review.</w:t>
      </w:r>
    </w:p>
    <w:p w14:paraId="22E88AE5" w14:textId="77777777" w:rsidR="00EC6AF3" w:rsidRDefault="00EC6AF3" w:rsidP="006E210B">
      <w:pPr>
        <w:numPr>
          <w:ilvl w:val="0"/>
          <w:numId w:val="40"/>
        </w:numPr>
        <w:spacing w:line="276" w:lineRule="auto"/>
      </w:pPr>
      <w:r>
        <w:t>Sharing results with the Medical Director and Chief Nurse to support quality improvement activities.</w:t>
      </w:r>
    </w:p>
    <w:p w14:paraId="4193DEEE" w14:textId="77777777" w:rsidR="00A40153" w:rsidRPr="00A40153" w:rsidRDefault="00A40153" w:rsidP="006E210B">
      <w:pPr>
        <w:pStyle w:val="ListParagraph"/>
        <w:numPr>
          <w:ilvl w:val="0"/>
          <w:numId w:val="40"/>
        </w:numPr>
        <w:spacing w:line="276" w:lineRule="auto"/>
      </w:pPr>
      <w:r>
        <w:t xml:space="preserve">Engaging a range of colleagues ensures maximum benefit from NACEL participation and supports improvement in </w:t>
      </w:r>
      <w:proofErr w:type="gramStart"/>
      <w:r>
        <w:t>end of life</w:t>
      </w:r>
      <w:proofErr w:type="gramEnd"/>
      <w:r>
        <w:t xml:space="preserve"> care at both organisation and system levels. An example stakeholder map with guidance on engaging system and regional stakeholders is available </w:t>
      </w:r>
      <w:hyperlink r:id="rId36" w:history="1">
        <w:r>
          <w:rPr>
            <w:rStyle w:val="Hyperlink"/>
            <w:rFonts w:eastAsia="Times New Roman"/>
          </w:rPr>
          <w:t>here</w:t>
        </w:r>
      </w:hyperlink>
      <w:r>
        <w:rPr>
          <w:rFonts w:eastAsia="Times New Roman"/>
        </w:rPr>
        <w:t>.</w:t>
      </w:r>
    </w:p>
    <w:p w14:paraId="4E254AEF" w14:textId="77777777" w:rsidR="00EC6AF3" w:rsidRPr="00EC6AF3" w:rsidRDefault="00EC6AF3" w:rsidP="006E210B">
      <w:pPr>
        <w:spacing w:line="276" w:lineRule="auto"/>
        <w:rPr>
          <w:b/>
          <w:bCs/>
        </w:rPr>
      </w:pPr>
      <w:r>
        <w:rPr>
          <w:b/>
          <w:bCs/>
        </w:rPr>
        <w:t>Data Entry Support</w:t>
      </w:r>
    </w:p>
    <w:p w14:paraId="07B88134" w14:textId="77777777" w:rsidR="00EC6AF3" w:rsidRPr="00EC6AF3" w:rsidRDefault="00EC6AF3" w:rsidP="006E210B">
      <w:pPr>
        <w:spacing w:line="276" w:lineRule="auto"/>
      </w:pPr>
      <w:r>
        <w:t>We recommend assigning NACEL project roles to both clinicians and non-clinicians to ensure smooth participation:</w:t>
      </w:r>
    </w:p>
    <w:p w14:paraId="4C415B37" w14:textId="77777777" w:rsidR="00EC6AF3" w:rsidRPr="00EC6AF3" w:rsidRDefault="00EC6AF3" w:rsidP="006E210B">
      <w:pPr>
        <w:numPr>
          <w:ilvl w:val="0"/>
          <w:numId w:val="41"/>
        </w:numPr>
        <w:spacing w:line="276" w:lineRule="auto"/>
      </w:pPr>
      <w:r>
        <w:t>Case Note Review: Completed by clinicians with palliative or end of life care experience.</w:t>
      </w:r>
    </w:p>
    <w:p w14:paraId="02553715" w14:textId="77777777" w:rsidR="00EC6AF3" w:rsidRPr="00EC6AF3" w:rsidRDefault="00EC6AF3" w:rsidP="006E210B">
      <w:pPr>
        <w:numPr>
          <w:ilvl w:val="0"/>
          <w:numId w:val="41"/>
        </w:numPr>
        <w:spacing w:line="276" w:lineRule="auto"/>
      </w:pPr>
      <w:r>
        <w:t>Bereavement Survey: Supported by your local bereavement service to help with survey dissemination.</w:t>
      </w:r>
    </w:p>
    <w:p w14:paraId="1A2EDBE6" w14:textId="1EB65661" w:rsidR="00EC6AF3" w:rsidRDefault="00EC6AF3" w:rsidP="006E210B">
      <w:pPr>
        <w:spacing w:line="276" w:lineRule="auto"/>
      </w:pPr>
      <w:r>
        <w:lastRenderedPageBreak/>
        <w:t xml:space="preserve">Monthly newsletters and key updates will be sent to the project team. Guidance on assigning project roles is available in the registration section </w:t>
      </w:r>
      <w:hyperlink w:anchor="_Registration" w:history="1">
        <w:r>
          <w:rPr>
            <w:rStyle w:val="Hyperlink"/>
            <w:rFonts w:eastAsia="Times New Roman"/>
          </w:rPr>
          <w:t>here</w:t>
        </w:r>
      </w:hyperlink>
    </w:p>
    <w:p w14:paraId="68161EC7" w14:textId="0EAB8EFA" w:rsidR="005E659E" w:rsidRPr="00AF2AFB" w:rsidRDefault="005E659E" w:rsidP="006E210B">
      <w:pPr>
        <w:pStyle w:val="Heading1"/>
        <w:numPr>
          <w:ilvl w:val="0"/>
          <w:numId w:val="45"/>
        </w:numPr>
        <w:spacing w:line="276" w:lineRule="auto"/>
        <w:rPr>
          <w:rFonts w:asciiTheme="minorHAnsi" w:hAnsiTheme="minorHAnsi" w:cstheme="minorHAnsi"/>
          <w:b/>
          <w:bCs/>
          <w:color w:val="385623" w:themeColor="accent6" w:themeShade="80"/>
          <w:sz w:val="24"/>
          <w:szCs w:val="24"/>
        </w:rPr>
      </w:pPr>
      <w:bookmarkStart w:id="35" w:name="_Toc212207544"/>
      <w:r>
        <w:rPr>
          <w:rFonts w:asciiTheme="minorHAnsi" w:hAnsiTheme="minorHAnsi" w:cstheme="minorHAnsi"/>
          <w:b/>
          <w:bCs/>
          <w:color w:val="385623" w:themeColor="accent6" w:themeShade="80"/>
          <w:sz w:val="24"/>
          <w:szCs w:val="24"/>
        </w:rPr>
        <w:t>Quality Improvement support</w:t>
      </w:r>
      <w:bookmarkEnd w:id="35"/>
    </w:p>
    <w:p w14:paraId="2202C367" w14:textId="33C0C83A" w:rsidR="005E659E" w:rsidRPr="00AF2AFB" w:rsidRDefault="005E659E" w:rsidP="006E210B">
      <w:pPr>
        <w:widowControl w:val="0"/>
        <w:autoSpaceDE w:val="0"/>
        <w:autoSpaceDN w:val="0"/>
        <w:spacing w:line="276" w:lineRule="auto"/>
        <w:rPr>
          <w:rFonts w:cstheme="minorHAnsi"/>
        </w:rPr>
      </w:pPr>
      <w:r>
        <w:rPr>
          <w:rFonts w:eastAsia="Calibri" w:cstheme="minorHAnsi"/>
          <w:color w:val="000000" w:themeColor="text1"/>
        </w:rPr>
        <w:t xml:space="preserve">The NACEL is designed to support, where needed, improvements in the care of the dying person and those important to them. </w:t>
      </w:r>
      <w:r>
        <w:rPr>
          <w:rFonts w:cstheme="minorHAnsi"/>
        </w:rPr>
        <w:t xml:space="preserve">NACEL has QI resource to support organisations in using NACEL data to improve care. To find out more about how NACEL is supporting QI, please visit our </w:t>
      </w:r>
      <w:hyperlink r:id="rId37" w:history="1">
        <w:r>
          <w:rPr>
            <w:rStyle w:val="Hyperlink"/>
            <w:rFonts w:cstheme="minorHAnsi"/>
          </w:rPr>
          <w:t>dedicated QI pages</w:t>
        </w:r>
      </w:hyperlink>
      <w:r>
        <w:rPr>
          <w:rFonts w:cstheme="minorHAnsi"/>
        </w:rPr>
        <w:t xml:space="preserve"> and register to be part of the </w:t>
      </w:r>
      <w:hyperlink r:id="rId38" w:history="1">
        <w:r>
          <w:rPr>
            <w:rStyle w:val="Hyperlink"/>
            <w:rFonts w:cstheme="minorHAnsi"/>
          </w:rPr>
          <w:t>QI Community of Practice</w:t>
        </w:r>
      </w:hyperlink>
      <w:r>
        <w:rPr>
          <w:rFonts w:cstheme="minorHAnsi"/>
        </w:rPr>
        <w:t>.</w:t>
      </w:r>
    </w:p>
    <w:p w14:paraId="273CEB74" w14:textId="1A166464" w:rsidR="00D0791C" w:rsidRPr="00AF2AFB" w:rsidRDefault="00D0791C" w:rsidP="006E210B">
      <w:pPr>
        <w:pStyle w:val="Heading1"/>
        <w:numPr>
          <w:ilvl w:val="0"/>
          <w:numId w:val="45"/>
        </w:numPr>
        <w:spacing w:line="276" w:lineRule="auto"/>
        <w:rPr>
          <w:rFonts w:asciiTheme="minorHAnsi" w:hAnsiTheme="minorHAnsi" w:cstheme="minorHAnsi"/>
          <w:b/>
          <w:bCs/>
          <w:color w:val="385623" w:themeColor="accent6" w:themeShade="80"/>
          <w:sz w:val="24"/>
          <w:szCs w:val="24"/>
        </w:rPr>
      </w:pPr>
      <w:bookmarkStart w:id="36" w:name="_Management_of_Outliers"/>
      <w:bookmarkStart w:id="37" w:name="_Toc212207545"/>
      <w:bookmarkEnd w:id="36"/>
      <w:r>
        <w:rPr>
          <w:rFonts w:asciiTheme="minorHAnsi" w:hAnsiTheme="minorHAnsi" w:cstheme="minorHAnsi"/>
          <w:b/>
          <w:bCs/>
          <w:color w:val="385623" w:themeColor="accent6" w:themeShade="80"/>
          <w:sz w:val="24"/>
          <w:szCs w:val="24"/>
        </w:rPr>
        <w:t>Management of Outliers</w:t>
      </w:r>
      <w:bookmarkEnd w:id="37"/>
    </w:p>
    <w:p w14:paraId="1332D57F" w14:textId="6F405F80" w:rsidR="000420A5" w:rsidRPr="00E53C55" w:rsidRDefault="00153442" w:rsidP="006E210B">
      <w:pPr>
        <w:pStyle w:val="NoSpacing"/>
        <w:numPr>
          <w:ilvl w:val="0"/>
          <w:numId w:val="35"/>
        </w:numPr>
        <w:spacing w:line="276" w:lineRule="auto"/>
        <w:rPr>
          <w:rFonts w:cstheme="minorHAnsi"/>
        </w:rPr>
      </w:pPr>
      <w:r>
        <w:rPr>
          <w:rFonts w:cstheme="minorHAnsi"/>
        </w:rPr>
        <w:t>The NACEL Management of Outliers Policy outlines the process for identifying and managing outliers for two key metrics in the NACEL 2027 dataset in England, Wales and Jersey. Statistical analysis of headline indicators, reflecting overall quality of care, will take place in January 2028</w:t>
      </w:r>
    </w:p>
    <w:p w14:paraId="68E2D9B6" w14:textId="05961BF1" w:rsidR="00EF2F3A" w:rsidRPr="00EF2F3A" w:rsidRDefault="00EF2F3A" w:rsidP="006E210B">
      <w:pPr>
        <w:pStyle w:val="NoSpacing"/>
        <w:numPr>
          <w:ilvl w:val="0"/>
          <w:numId w:val="35"/>
        </w:numPr>
        <w:spacing w:line="276" w:lineRule="auto"/>
        <w:rPr>
          <w:rFonts w:cstheme="minorHAnsi"/>
        </w:rPr>
      </w:pPr>
      <w:r>
        <w:rPr>
          <w:rFonts w:cstheme="minorHAnsi"/>
        </w:rPr>
        <w:t>Healthcare providers must review and respond appropriately to any identified outliers. These results can support local quality improvement and help monitor progress over time. To support this process, organisations must ensure that case notes reviewed for NACEL 2027 remain accessible until February 2028.</w:t>
      </w:r>
    </w:p>
    <w:p w14:paraId="6D91D212" w14:textId="77777777" w:rsidR="007E0AB0" w:rsidRDefault="007E0AB0" w:rsidP="006E210B">
      <w:pPr>
        <w:pStyle w:val="NoSpacing"/>
        <w:numPr>
          <w:ilvl w:val="0"/>
          <w:numId w:val="35"/>
        </w:numPr>
        <w:spacing w:line="276" w:lineRule="auto"/>
        <w:rPr>
          <w:rFonts w:cstheme="minorHAnsi"/>
        </w:rPr>
      </w:pPr>
      <w:r>
        <w:rPr>
          <w:rFonts w:cstheme="minorHAnsi"/>
        </w:rPr>
        <w:t xml:space="preserve">Any organisation eligible for NACEL 2027 that does not participate will be listed as an alarm-level outlier. </w:t>
      </w:r>
    </w:p>
    <w:p w14:paraId="1D502AB5" w14:textId="47888894" w:rsidR="007E0AB0" w:rsidRDefault="00EF2F3A" w:rsidP="006E210B">
      <w:pPr>
        <w:pStyle w:val="NoSpacing"/>
        <w:numPr>
          <w:ilvl w:val="0"/>
          <w:numId w:val="35"/>
        </w:numPr>
        <w:spacing w:line="276" w:lineRule="auto"/>
        <w:rPr>
          <w:rFonts w:cstheme="minorHAnsi"/>
        </w:rPr>
      </w:pPr>
      <w:r>
        <w:rPr>
          <w:rFonts w:cstheme="minorHAnsi"/>
        </w:rPr>
        <w:t xml:space="preserve">Non-participation in the Case Note Review, Hospital/Site Overview or Annual Death Data Collection will also result in alarm-level outlier status. </w:t>
      </w:r>
    </w:p>
    <w:p w14:paraId="2753663C" w14:textId="77777777" w:rsidR="0091166A" w:rsidRDefault="005C4D22">
      <w:pPr>
        <w:pStyle w:val="NoSpacing"/>
        <w:numPr>
          <w:ilvl w:val="0"/>
          <w:numId w:val="35"/>
        </w:numPr>
        <w:spacing w:line="276" w:lineRule="auto"/>
        <w:rPr>
          <w:rFonts w:cstheme="minorHAnsi"/>
        </w:rPr>
      </w:pPr>
      <w:r>
        <w:rPr>
          <w:rFonts w:cstheme="minorHAnsi"/>
        </w:rPr>
        <w:t>Organisations that take part in NACEL but submit fewer than 80 case note reviews despite having more than 80 eligible deaths within the year will also be identified as alarm-level outliers.</w:t>
      </w:r>
    </w:p>
    <w:p w14:paraId="32D35EFD" w14:textId="2A0CE11A" w:rsidR="00CC0749" w:rsidRDefault="00EF2F3A" w:rsidP="006E210B">
      <w:pPr>
        <w:pStyle w:val="NoSpacing"/>
        <w:numPr>
          <w:ilvl w:val="0"/>
          <w:numId w:val="35"/>
        </w:numPr>
        <w:spacing w:line="276" w:lineRule="auto"/>
        <w:textAlignment w:val="baseline"/>
      </w:pPr>
      <w:r>
        <w:rPr>
          <w:rFonts w:cstheme="minorHAnsi"/>
        </w:rPr>
        <w:t xml:space="preserve">The Management of Outliers Policy for 2027 is in development and will be published </w:t>
      </w:r>
      <w:r>
        <w:t xml:space="preserve">in the coming months via the NACEL Portal, </w:t>
      </w:r>
      <w:hyperlink r:id="rId39" w:history="1">
        <w:r>
          <w:rPr>
            <w:rStyle w:val="Hyperlink"/>
          </w:rPr>
          <w:t>Policies page.</w:t>
        </w:r>
      </w:hyperlink>
      <w:r>
        <w:t xml:space="preserve"> </w:t>
      </w:r>
    </w:p>
    <w:p w14:paraId="49176722" w14:textId="327131AE" w:rsidR="0011499F" w:rsidRPr="00AF2AFB" w:rsidRDefault="0011499F" w:rsidP="006E210B">
      <w:pPr>
        <w:pStyle w:val="Heading1"/>
        <w:numPr>
          <w:ilvl w:val="0"/>
          <w:numId w:val="45"/>
        </w:numPr>
        <w:spacing w:line="276" w:lineRule="auto"/>
        <w:rPr>
          <w:rFonts w:asciiTheme="minorHAnsi" w:hAnsiTheme="minorHAnsi" w:cstheme="minorHAnsi"/>
          <w:b/>
          <w:bCs/>
          <w:color w:val="385623" w:themeColor="accent6" w:themeShade="80"/>
          <w:sz w:val="24"/>
          <w:szCs w:val="24"/>
        </w:rPr>
      </w:pPr>
      <w:bookmarkStart w:id="38" w:name="_Toc212207546"/>
      <w:r>
        <w:rPr>
          <w:rFonts w:asciiTheme="minorHAnsi" w:hAnsiTheme="minorHAnsi" w:cstheme="minorHAnsi"/>
          <w:b/>
          <w:bCs/>
          <w:color w:val="385623" w:themeColor="accent6" w:themeShade="80"/>
          <w:sz w:val="24"/>
          <w:szCs w:val="24"/>
        </w:rPr>
        <w:t>NACEL helpline support</w:t>
      </w:r>
      <w:bookmarkEnd w:id="38"/>
      <w:r>
        <w:rPr>
          <w:rFonts w:asciiTheme="minorHAnsi" w:hAnsiTheme="minorHAnsi" w:cstheme="minorHAnsi"/>
          <w:b/>
          <w:bCs/>
          <w:color w:val="385623" w:themeColor="accent6" w:themeShade="80"/>
          <w:sz w:val="24"/>
          <w:szCs w:val="24"/>
        </w:rPr>
        <w:t xml:space="preserve"> </w:t>
      </w:r>
    </w:p>
    <w:p w14:paraId="36EB6166" w14:textId="1217B080" w:rsidR="0011499F" w:rsidRPr="00AF2AFB" w:rsidRDefault="0011499F" w:rsidP="006E210B">
      <w:pPr>
        <w:pStyle w:val="ListParagraph"/>
        <w:spacing w:line="276" w:lineRule="auto"/>
        <w:ind w:left="0"/>
        <w:rPr>
          <w:rFonts w:cstheme="minorHAnsi"/>
        </w:rPr>
      </w:pPr>
      <w:r>
        <w:rPr>
          <w:rFonts w:cstheme="minorHAnsi"/>
        </w:rPr>
        <w:t xml:space="preserve">Should you have any queries about completing any element of NACEL, please contact the NACEL Support Team by phone on 0161 521 0866 or via email: </w:t>
      </w:r>
      <w:hyperlink r:id="rId40" w:history="1">
        <w:r>
          <w:rPr>
            <w:rStyle w:val="Hyperlink"/>
            <w:rFonts w:cstheme="minorHAnsi"/>
          </w:rPr>
          <w:t>nhsbn.nacelsupport@nhs.net</w:t>
        </w:r>
      </w:hyperlink>
    </w:p>
    <w:p w14:paraId="7F0449F0" w14:textId="77777777" w:rsidR="0011499F" w:rsidRPr="00AF2AFB" w:rsidRDefault="0011499F" w:rsidP="006E210B">
      <w:pPr>
        <w:pStyle w:val="ListParagraph"/>
        <w:spacing w:line="276" w:lineRule="auto"/>
        <w:ind w:left="0"/>
        <w:rPr>
          <w:rFonts w:cstheme="minorHAnsi"/>
        </w:rPr>
      </w:pPr>
      <w:r>
        <w:rPr>
          <w:rFonts w:cstheme="minorHAnsi"/>
        </w:rPr>
        <w:t xml:space="preserve">The helpline is available from Monday – Friday from 9.00 am – 5.00 pm. </w:t>
      </w:r>
    </w:p>
    <w:p w14:paraId="33D730AA" w14:textId="60A4EE75" w:rsidR="00153442" w:rsidRPr="00AF2AFB" w:rsidRDefault="00BA51E3" w:rsidP="006E210B">
      <w:pPr>
        <w:pStyle w:val="NoSpacing"/>
        <w:spacing w:line="276" w:lineRule="auto"/>
      </w:pPr>
      <w:r>
        <w:t>Thank you for your participation in NACEL 2027.</w:t>
      </w:r>
      <w:bookmarkEnd w:id="32"/>
    </w:p>
    <w:p w14:paraId="1B9E3108" w14:textId="77777777" w:rsidR="00781DA4" w:rsidRDefault="00781DA4" w:rsidP="002374C3">
      <w:pPr>
        <w:pStyle w:val="NoSpacing"/>
      </w:pPr>
    </w:p>
    <w:sectPr w:rsidR="00781DA4" w:rsidSect="00B77F38">
      <w:headerReference w:type="default" r:id="rId41"/>
      <w:footerReference w:type="default" r:id="rId42"/>
      <w:type w:val="continuous"/>
      <w:pgSz w:w="11906" w:h="16838"/>
      <w:pgMar w:top="1440" w:right="1440" w:bottom="1440" w:left="1440" w:header="17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270818" w14:textId="77777777" w:rsidR="00441BF5" w:rsidRPr="00AF2AFB" w:rsidRDefault="00441BF5">
      <w:pPr>
        <w:spacing w:after="0" w:line="240" w:lineRule="auto"/>
      </w:pPr>
      <w:r w:rsidRPr="00AF2AFB">
        <w:separator/>
      </w:r>
    </w:p>
  </w:endnote>
  <w:endnote w:type="continuationSeparator" w:id="0">
    <w:p w14:paraId="64B97663" w14:textId="77777777" w:rsidR="00441BF5" w:rsidRPr="00AF2AFB" w:rsidRDefault="00441BF5">
      <w:pPr>
        <w:spacing w:after="0" w:line="240" w:lineRule="auto"/>
      </w:pPr>
      <w:r w:rsidRPr="00AF2AFB">
        <w:continuationSeparator/>
      </w:r>
    </w:p>
  </w:endnote>
  <w:endnote w:type="continuationNotice" w:id="1">
    <w:p w14:paraId="20793543" w14:textId="77777777" w:rsidR="00441BF5" w:rsidRPr="00AF2AFB" w:rsidRDefault="00441BF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8516614"/>
      <w:docPartObj>
        <w:docPartGallery w:val="Page Numbers (Bottom of Page)"/>
        <w:docPartUnique/>
      </w:docPartObj>
    </w:sdtPr>
    <w:sdtEndPr>
      <w:rPr>
        <w:color w:val="538135" w:themeColor="accent6" w:themeShade="BF"/>
        <w:spacing w:val="60"/>
      </w:rPr>
    </w:sdtEndPr>
    <w:sdtContent>
      <w:p w14:paraId="2DE07434" w14:textId="77777777" w:rsidR="00461B21" w:rsidRPr="00AF2AFB" w:rsidRDefault="0080013B">
        <w:pPr>
          <w:pStyle w:val="Footer"/>
          <w:pBdr>
            <w:top w:val="single" w:sz="4" w:space="1" w:color="D9D9D9" w:themeColor="background1" w:themeShade="D9"/>
          </w:pBdr>
          <w:jc w:val="right"/>
          <w:rPr>
            <w:color w:val="538135" w:themeColor="accent6" w:themeShade="BF"/>
          </w:rPr>
        </w:pPr>
        <w:r w:rsidRPr="00AF2AFB">
          <w:rPr>
            <w:color w:val="538135" w:themeColor="accent6" w:themeShade="BF"/>
          </w:rPr>
          <w:fldChar w:fldCharType="begin"/>
        </w:r>
        <w:r w:rsidRPr="00AF2AFB">
          <w:rPr>
            <w:color w:val="538135" w:themeColor="accent6" w:themeShade="BF"/>
          </w:rPr>
          <w:instrText xml:space="preserve"> PAGE   \* MERGEFORMAT </w:instrText>
        </w:r>
        <w:r w:rsidRPr="00AF2AFB">
          <w:rPr>
            <w:color w:val="538135" w:themeColor="accent6" w:themeShade="BF"/>
          </w:rPr>
          <w:fldChar w:fldCharType="separate"/>
        </w:r>
        <w:r w:rsidRPr="00AF2AFB">
          <w:rPr>
            <w:color w:val="538135" w:themeColor="accent6" w:themeShade="BF"/>
          </w:rPr>
          <w:t>3</w:t>
        </w:r>
        <w:r w:rsidRPr="00AF2AFB">
          <w:rPr>
            <w:color w:val="538135" w:themeColor="accent6" w:themeShade="BF"/>
          </w:rPr>
          <w:fldChar w:fldCharType="end"/>
        </w:r>
        <w:r w:rsidRPr="00AF2AFB">
          <w:rPr>
            <w:color w:val="538135" w:themeColor="accent6" w:themeShade="BF"/>
          </w:rPr>
          <w:t xml:space="preserve"> | </w:t>
        </w:r>
        <w:r w:rsidRPr="00AF2AFB">
          <w:rPr>
            <w:color w:val="538135" w:themeColor="accent6" w:themeShade="BF"/>
            <w:spacing w:val="60"/>
          </w:rPr>
          <w:t>Page</w:t>
        </w:r>
      </w:p>
    </w:sdtContent>
  </w:sdt>
  <w:p w14:paraId="16D6B64D" w14:textId="188766B8" w:rsidR="00461B21" w:rsidRPr="00AF2AFB" w:rsidRDefault="0080013B">
    <w:pPr>
      <w:pStyle w:val="Footer"/>
      <w:rPr>
        <w:sz w:val="16"/>
        <w:szCs w:val="16"/>
      </w:rPr>
    </w:pPr>
    <w:r w:rsidRPr="00AF2AFB">
      <w:rPr>
        <w:sz w:val="16"/>
        <w:szCs w:val="16"/>
      </w:rPr>
      <w:t>NACEL</w:t>
    </w:r>
    <w:r w:rsidR="002F4A65" w:rsidRPr="00AF2AFB">
      <w:rPr>
        <w:sz w:val="16"/>
        <w:szCs w:val="16"/>
      </w:rPr>
      <w:t xml:space="preserve"> 202</w:t>
    </w:r>
    <w:r w:rsidR="00DE2BDE" w:rsidRPr="00AF2AFB">
      <w:rPr>
        <w:sz w:val="16"/>
        <w:szCs w:val="16"/>
      </w:rPr>
      <w:t>7</w:t>
    </w:r>
    <w:r w:rsidRPr="00AF2AFB">
      <w:rPr>
        <w:sz w:val="16"/>
        <w:szCs w:val="16"/>
      </w:rPr>
      <w:t xml:space="preserve"> Guidance Notes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720891" w14:textId="77777777" w:rsidR="00441BF5" w:rsidRPr="00AF2AFB" w:rsidRDefault="00441BF5">
      <w:pPr>
        <w:spacing w:after="0" w:line="240" w:lineRule="auto"/>
      </w:pPr>
      <w:r w:rsidRPr="00AF2AFB">
        <w:separator/>
      </w:r>
    </w:p>
  </w:footnote>
  <w:footnote w:type="continuationSeparator" w:id="0">
    <w:p w14:paraId="4AF31BCC" w14:textId="77777777" w:rsidR="00441BF5" w:rsidRPr="00AF2AFB" w:rsidRDefault="00441BF5">
      <w:pPr>
        <w:spacing w:after="0" w:line="240" w:lineRule="auto"/>
      </w:pPr>
      <w:r w:rsidRPr="00AF2AFB">
        <w:continuationSeparator/>
      </w:r>
    </w:p>
  </w:footnote>
  <w:footnote w:type="continuationNotice" w:id="1">
    <w:p w14:paraId="63A59996" w14:textId="77777777" w:rsidR="00441BF5" w:rsidRPr="00AF2AFB" w:rsidRDefault="00441BF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67DAD" w14:textId="770BD51F" w:rsidR="00461B21" w:rsidRPr="00AF2AFB" w:rsidRDefault="006368BB" w:rsidP="007E4D53">
    <w:pPr>
      <w:pStyle w:val="Header"/>
      <w:jc w:val="right"/>
    </w:pPr>
    <w:r>
      <w:rPr>
        <w:noProof/>
      </w:rPr>
      <w:drawing>
        <wp:anchor distT="0" distB="0" distL="114300" distR="114300" simplePos="0" relativeHeight="251658241" behindDoc="1" locked="0" layoutInCell="1" allowOverlap="1" wp14:anchorId="4FE01914" wp14:editId="2E0549BA">
          <wp:simplePos x="0" y="0"/>
          <wp:positionH relativeFrom="page">
            <wp:posOffset>4398835</wp:posOffset>
          </wp:positionH>
          <wp:positionV relativeFrom="paragraph">
            <wp:posOffset>-54610</wp:posOffset>
          </wp:positionV>
          <wp:extent cx="3094990" cy="825500"/>
          <wp:effectExtent l="0" t="0" r="0" b="0"/>
          <wp:wrapTight wrapText="bothSides">
            <wp:wrapPolygon edited="0">
              <wp:start x="21139" y="0"/>
              <wp:lineTo x="3457" y="1994"/>
              <wp:lineTo x="266" y="3489"/>
              <wp:lineTo x="399" y="10966"/>
              <wp:lineTo x="798" y="15951"/>
              <wp:lineTo x="2792" y="20935"/>
              <wp:lineTo x="3058" y="20935"/>
              <wp:lineTo x="21405" y="20935"/>
              <wp:lineTo x="21405" y="0"/>
              <wp:lineTo x="21139" y="0"/>
            </wp:wrapPolygon>
          </wp:wrapTight>
          <wp:docPr id="705679980" name="Picture 7" descr="A black background with green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679980" name="Picture 7" descr="A black background with green text&#10;&#10;AI-generated content may be incorrect."/>
                  <pic:cNvPicPr/>
                </pic:nvPicPr>
                <pic:blipFill rotWithShape="1">
                  <a:blip r:embed="rId1">
                    <a:extLst>
                      <a:ext uri="{28A0092B-C50C-407E-A947-70E740481C1C}">
                        <a14:useLocalDpi xmlns:a14="http://schemas.microsoft.com/office/drawing/2010/main" val="0"/>
                      </a:ext>
                    </a:extLst>
                  </a:blip>
                  <a:srcRect b="8257"/>
                  <a:stretch>
                    <a:fillRect/>
                  </a:stretch>
                </pic:blipFill>
                <pic:spPr bwMode="auto">
                  <a:xfrm>
                    <a:off x="0" y="0"/>
                    <a:ext cx="3094990" cy="8255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24C01" w:rsidRPr="00AF2AFB">
      <w:rPr>
        <w:noProof/>
      </w:rPr>
      <w:drawing>
        <wp:anchor distT="0" distB="0" distL="114300" distR="114300" simplePos="0" relativeHeight="251658240" behindDoc="1" locked="0" layoutInCell="1" allowOverlap="1" wp14:anchorId="1DAFC982" wp14:editId="00777200">
          <wp:simplePos x="0" y="0"/>
          <wp:positionH relativeFrom="column">
            <wp:posOffset>-846455</wp:posOffset>
          </wp:positionH>
          <wp:positionV relativeFrom="paragraph">
            <wp:posOffset>-90805</wp:posOffset>
          </wp:positionV>
          <wp:extent cx="899795" cy="899795"/>
          <wp:effectExtent l="0" t="0" r="0" b="0"/>
          <wp:wrapTight wrapText="bothSides">
            <wp:wrapPolygon edited="0">
              <wp:start x="8231" y="457"/>
              <wp:lineTo x="5030" y="2744"/>
              <wp:lineTo x="915" y="7317"/>
              <wp:lineTo x="915" y="10061"/>
              <wp:lineTo x="1829" y="16006"/>
              <wp:lineTo x="7774" y="19664"/>
              <wp:lineTo x="8689" y="20579"/>
              <wp:lineTo x="12805" y="20579"/>
              <wp:lineTo x="18749" y="16006"/>
              <wp:lineTo x="20121" y="10518"/>
              <wp:lineTo x="20579" y="6860"/>
              <wp:lineTo x="15091" y="1829"/>
              <wp:lineTo x="12347" y="457"/>
              <wp:lineTo x="8231" y="457"/>
            </wp:wrapPolygon>
          </wp:wrapTight>
          <wp:docPr id="44494922" name="Picture 44494922" descr="A colorful logo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318894" name="Picture 5" descr="A colorful logo with a black background&#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899795" cy="899795"/>
                  </a:xfrm>
                  <a:prstGeom prst="rect">
                    <a:avLst/>
                  </a:prstGeom>
                </pic:spPr>
              </pic:pic>
            </a:graphicData>
          </a:graphic>
          <wp14:sizeRelH relativeFrom="page">
            <wp14:pctWidth>0</wp14:pctWidth>
          </wp14:sizeRelH>
          <wp14:sizeRelV relativeFrom="page">
            <wp14:pctHeight>0</wp14:pctHeight>
          </wp14:sizeRelV>
        </wp:anchor>
      </w:drawing>
    </w:r>
    <w:r w:rsidR="0080013B" w:rsidRPr="00AF2AFB">
      <w:tab/>
    </w:r>
    <w:r w:rsidR="0080013B" w:rsidRPr="00AF2AFB">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1418E"/>
    <w:multiLevelType w:val="multilevel"/>
    <w:tmpl w:val="6186A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4E1D1B"/>
    <w:multiLevelType w:val="hybridMultilevel"/>
    <w:tmpl w:val="5680F5E4"/>
    <w:lvl w:ilvl="0" w:tplc="75A6F82E">
      <w:start w:val="1"/>
      <w:numFmt w:val="lowerLetter"/>
      <w:lvlText w:val="%1)"/>
      <w:lvlJc w:val="left"/>
      <w:pPr>
        <w:ind w:left="360" w:hanging="36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E3D6786"/>
    <w:multiLevelType w:val="multilevel"/>
    <w:tmpl w:val="94AC34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5277BF"/>
    <w:multiLevelType w:val="hybridMultilevel"/>
    <w:tmpl w:val="3F724D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FD7A6F"/>
    <w:multiLevelType w:val="hybridMultilevel"/>
    <w:tmpl w:val="A014AD36"/>
    <w:lvl w:ilvl="0" w:tplc="FFFFFFFF">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 w15:restartNumberingAfterBreak="0">
    <w:nsid w:val="11C73192"/>
    <w:multiLevelType w:val="hybridMultilevel"/>
    <w:tmpl w:val="9F3077F0"/>
    <w:lvl w:ilvl="0" w:tplc="B896E82A">
      <w:start w:val="1"/>
      <w:numFmt w:val="bullet"/>
      <w:lvlText w:val=""/>
      <w:lvlJc w:val="left"/>
      <w:pPr>
        <w:ind w:left="720" w:hanging="360"/>
      </w:pPr>
      <w:rPr>
        <w:rFonts w:ascii="Symbol" w:hAnsi="Symbol" w:hint="default"/>
        <w:strike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2D10477"/>
    <w:multiLevelType w:val="hybridMultilevel"/>
    <w:tmpl w:val="CF8238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51037AE"/>
    <w:multiLevelType w:val="hybridMultilevel"/>
    <w:tmpl w:val="79007C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89E2408"/>
    <w:multiLevelType w:val="multilevel"/>
    <w:tmpl w:val="0DFA81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91B6258"/>
    <w:multiLevelType w:val="hybridMultilevel"/>
    <w:tmpl w:val="A846186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D7D0DE6"/>
    <w:multiLevelType w:val="hybridMultilevel"/>
    <w:tmpl w:val="E494BD5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1F0A6E83"/>
    <w:multiLevelType w:val="multilevel"/>
    <w:tmpl w:val="B4F6A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2CF0712"/>
    <w:multiLevelType w:val="hybridMultilevel"/>
    <w:tmpl w:val="904C4A2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39F403B"/>
    <w:multiLevelType w:val="multilevel"/>
    <w:tmpl w:val="92BEEA7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87D78E7"/>
    <w:multiLevelType w:val="hybridMultilevel"/>
    <w:tmpl w:val="34D8A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93D5070"/>
    <w:multiLevelType w:val="hybridMultilevel"/>
    <w:tmpl w:val="2862ABB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B3B3D62"/>
    <w:multiLevelType w:val="hybridMultilevel"/>
    <w:tmpl w:val="26A623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C062A7B"/>
    <w:multiLevelType w:val="hybridMultilevel"/>
    <w:tmpl w:val="9F9801FE"/>
    <w:lvl w:ilvl="0" w:tplc="0809000F">
      <w:start w:val="3"/>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2C740834"/>
    <w:multiLevelType w:val="hybridMultilevel"/>
    <w:tmpl w:val="B53C5AC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F1208B1"/>
    <w:multiLevelType w:val="multilevel"/>
    <w:tmpl w:val="1AE89B3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14C6ECA"/>
    <w:multiLevelType w:val="hybridMultilevel"/>
    <w:tmpl w:val="203862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5E252C8"/>
    <w:multiLevelType w:val="multilevel"/>
    <w:tmpl w:val="15D01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70A392F"/>
    <w:multiLevelType w:val="multilevel"/>
    <w:tmpl w:val="1C5A0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D617DC5"/>
    <w:multiLevelType w:val="hybridMultilevel"/>
    <w:tmpl w:val="C284B58E"/>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D801C3A"/>
    <w:multiLevelType w:val="hybridMultilevel"/>
    <w:tmpl w:val="2DDA53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45110FD"/>
    <w:multiLevelType w:val="hybridMultilevel"/>
    <w:tmpl w:val="ED3464C8"/>
    <w:lvl w:ilvl="0" w:tplc="A21CA840">
      <w:start w:val="1"/>
      <w:numFmt w:val="bullet"/>
      <w:lvlText w:val=""/>
      <w:lvlJc w:val="left"/>
      <w:pPr>
        <w:tabs>
          <w:tab w:val="num" w:pos="720"/>
        </w:tabs>
        <w:ind w:left="720" w:hanging="360"/>
      </w:pPr>
      <w:rPr>
        <w:rFonts w:ascii="Symbol" w:hAnsi="Symbol" w:hint="default"/>
      </w:rPr>
    </w:lvl>
    <w:lvl w:ilvl="1" w:tplc="40B84E6C" w:tentative="1">
      <w:start w:val="1"/>
      <w:numFmt w:val="bullet"/>
      <w:lvlText w:val=""/>
      <w:lvlJc w:val="left"/>
      <w:pPr>
        <w:tabs>
          <w:tab w:val="num" w:pos="1440"/>
        </w:tabs>
        <w:ind w:left="1440" w:hanging="360"/>
      </w:pPr>
      <w:rPr>
        <w:rFonts w:ascii="Symbol" w:hAnsi="Symbol" w:hint="default"/>
      </w:rPr>
    </w:lvl>
    <w:lvl w:ilvl="2" w:tplc="03EE23F0" w:tentative="1">
      <w:start w:val="1"/>
      <w:numFmt w:val="bullet"/>
      <w:lvlText w:val=""/>
      <w:lvlJc w:val="left"/>
      <w:pPr>
        <w:tabs>
          <w:tab w:val="num" w:pos="2160"/>
        </w:tabs>
        <w:ind w:left="2160" w:hanging="360"/>
      </w:pPr>
      <w:rPr>
        <w:rFonts w:ascii="Symbol" w:hAnsi="Symbol" w:hint="default"/>
      </w:rPr>
    </w:lvl>
    <w:lvl w:ilvl="3" w:tplc="1764AECA" w:tentative="1">
      <w:start w:val="1"/>
      <w:numFmt w:val="bullet"/>
      <w:lvlText w:val=""/>
      <w:lvlJc w:val="left"/>
      <w:pPr>
        <w:tabs>
          <w:tab w:val="num" w:pos="2880"/>
        </w:tabs>
        <w:ind w:left="2880" w:hanging="360"/>
      </w:pPr>
      <w:rPr>
        <w:rFonts w:ascii="Symbol" w:hAnsi="Symbol" w:hint="default"/>
      </w:rPr>
    </w:lvl>
    <w:lvl w:ilvl="4" w:tplc="FBA6DA92" w:tentative="1">
      <w:start w:val="1"/>
      <w:numFmt w:val="bullet"/>
      <w:lvlText w:val=""/>
      <w:lvlJc w:val="left"/>
      <w:pPr>
        <w:tabs>
          <w:tab w:val="num" w:pos="3600"/>
        </w:tabs>
        <w:ind w:left="3600" w:hanging="360"/>
      </w:pPr>
      <w:rPr>
        <w:rFonts w:ascii="Symbol" w:hAnsi="Symbol" w:hint="default"/>
      </w:rPr>
    </w:lvl>
    <w:lvl w:ilvl="5" w:tplc="9686245C" w:tentative="1">
      <w:start w:val="1"/>
      <w:numFmt w:val="bullet"/>
      <w:lvlText w:val=""/>
      <w:lvlJc w:val="left"/>
      <w:pPr>
        <w:tabs>
          <w:tab w:val="num" w:pos="4320"/>
        </w:tabs>
        <w:ind w:left="4320" w:hanging="360"/>
      </w:pPr>
      <w:rPr>
        <w:rFonts w:ascii="Symbol" w:hAnsi="Symbol" w:hint="default"/>
      </w:rPr>
    </w:lvl>
    <w:lvl w:ilvl="6" w:tplc="5262EF80" w:tentative="1">
      <w:start w:val="1"/>
      <w:numFmt w:val="bullet"/>
      <w:lvlText w:val=""/>
      <w:lvlJc w:val="left"/>
      <w:pPr>
        <w:tabs>
          <w:tab w:val="num" w:pos="5040"/>
        </w:tabs>
        <w:ind w:left="5040" w:hanging="360"/>
      </w:pPr>
      <w:rPr>
        <w:rFonts w:ascii="Symbol" w:hAnsi="Symbol" w:hint="default"/>
      </w:rPr>
    </w:lvl>
    <w:lvl w:ilvl="7" w:tplc="93387A32" w:tentative="1">
      <w:start w:val="1"/>
      <w:numFmt w:val="bullet"/>
      <w:lvlText w:val=""/>
      <w:lvlJc w:val="left"/>
      <w:pPr>
        <w:tabs>
          <w:tab w:val="num" w:pos="5760"/>
        </w:tabs>
        <w:ind w:left="5760" w:hanging="360"/>
      </w:pPr>
      <w:rPr>
        <w:rFonts w:ascii="Symbol" w:hAnsi="Symbol" w:hint="default"/>
      </w:rPr>
    </w:lvl>
    <w:lvl w:ilvl="8" w:tplc="68141E44" w:tentative="1">
      <w:start w:val="1"/>
      <w:numFmt w:val="bullet"/>
      <w:lvlText w:val=""/>
      <w:lvlJc w:val="left"/>
      <w:pPr>
        <w:tabs>
          <w:tab w:val="num" w:pos="6480"/>
        </w:tabs>
        <w:ind w:left="6480" w:hanging="360"/>
      </w:pPr>
      <w:rPr>
        <w:rFonts w:ascii="Symbol" w:hAnsi="Symbol" w:hint="default"/>
      </w:rPr>
    </w:lvl>
  </w:abstractNum>
  <w:abstractNum w:abstractNumId="26" w15:restartNumberingAfterBreak="0">
    <w:nsid w:val="49F91234"/>
    <w:multiLevelType w:val="multilevel"/>
    <w:tmpl w:val="187E0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B8316DC"/>
    <w:multiLevelType w:val="multilevel"/>
    <w:tmpl w:val="3DC64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CF510C6"/>
    <w:multiLevelType w:val="hybridMultilevel"/>
    <w:tmpl w:val="663A34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5B07AA0"/>
    <w:multiLevelType w:val="multilevel"/>
    <w:tmpl w:val="1F8EE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97B18BD"/>
    <w:multiLevelType w:val="hybridMultilevel"/>
    <w:tmpl w:val="76FC17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AA77101"/>
    <w:multiLevelType w:val="hybridMultilevel"/>
    <w:tmpl w:val="EA56818E"/>
    <w:lvl w:ilvl="0" w:tplc="6938F524">
      <w:start w:val="1"/>
      <w:numFmt w:val="lowerLetter"/>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BF91C00"/>
    <w:multiLevelType w:val="hybridMultilevel"/>
    <w:tmpl w:val="BA5C0B74"/>
    <w:lvl w:ilvl="0" w:tplc="A140A2DC">
      <w:start w:val="1"/>
      <w:numFmt w:val="bullet"/>
      <w:pStyle w:val="Style1"/>
      <w:lvlText w:val=""/>
      <w:lvlJc w:val="left"/>
      <w:pPr>
        <w:ind w:left="720" w:hanging="360"/>
      </w:pPr>
      <w:rPr>
        <w:rFonts w:ascii="Symbol" w:hAnsi="Symbol" w:hint="default"/>
      </w:rPr>
    </w:lvl>
    <w:lvl w:ilvl="1" w:tplc="D87EF570">
      <w:numFmt w:val="bullet"/>
      <w:lvlText w:val="-"/>
      <w:lvlJc w:val="left"/>
      <w:pPr>
        <w:ind w:left="1800" w:hanging="720"/>
      </w:pPr>
      <w:rPr>
        <w:rFonts w:ascii="Calibri" w:eastAsiaTheme="minorHAnsi" w:hAnsi="Calibri" w:cs="Calibri"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3" w15:restartNumberingAfterBreak="0">
    <w:nsid w:val="5C404BDD"/>
    <w:multiLevelType w:val="multilevel"/>
    <w:tmpl w:val="63BECD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C7363DB"/>
    <w:multiLevelType w:val="hybridMultilevel"/>
    <w:tmpl w:val="10329B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C740C68"/>
    <w:multiLevelType w:val="hybridMultilevel"/>
    <w:tmpl w:val="52FAD4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CEE6DAE"/>
    <w:multiLevelType w:val="multilevel"/>
    <w:tmpl w:val="DF3CA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D4A3794"/>
    <w:multiLevelType w:val="hybridMultilevel"/>
    <w:tmpl w:val="CB62FBE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5F8544C5"/>
    <w:multiLevelType w:val="multilevel"/>
    <w:tmpl w:val="B63CAD52"/>
    <w:lvl w:ilvl="0">
      <w:start w:val="6"/>
      <w:numFmt w:val="decimal"/>
      <w:lvlText w:val="%1."/>
      <w:lvlJc w:val="left"/>
      <w:pPr>
        <w:tabs>
          <w:tab w:val="num" w:pos="360"/>
        </w:tabs>
        <w:ind w:left="360" w:hanging="360"/>
      </w:pPr>
      <w:rPr>
        <w:rFonts w:hint="default"/>
      </w:rPr>
    </w:lvl>
    <w:lvl w:ilvl="1">
      <w:start w:val="1"/>
      <w:numFmt w:val="bullet"/>
      <w:lvlText w:val="o"/>
      <w:lvlJc w:val="left"/>
      <w:pPr>
        <w:tabs>
          <w:tab w:val="num" w:pos="1080"/>
        </w:tabs>
        <w:ind w:left="1080" w:hanging="360"/>
      </w:pPr>
      <w:rPr>
        <w:rFonts w:ascii="Courier New" w:hAnsi="Courier New" w:hint="default"/>
        <w:sz w:val="20"/>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39" w15:restartNumberingAfterBreak="0">
    <w:nsid w:val="6340514A"/>
    <w:multiLevelType w:val="hybridMultilevel"/>
    <w:tmpl w:val="82DE050A"/>
    <w:lvl w:ilvl="0" w:tplc="08090001">
      <w:start w:val="1"/>
      <w:numFmt w:val="bullet"/>
      <w:lvlText w:val=""/>
      <w:lvlJc w:val="left"/>
      <w:pPr>
        <w:ind w:left="-1755" w:hanging="360"/>
      </w:pPr>
      <w:rPr>
        <w:rFonts w:ascii="Symbol" w:hAnsi="Symbol" w:hint="default"/>
      </w:rPr>
    </w:lvl>
    <w:lvl w:ilvl="1" w:tplc="08090003" w:tentative="1">
      <w:start w:val="1"/>
      <w:numFmt w:val="bullet"/>
      <w:lvlText w:val="o"/>
      <w:lvlJc w:val="left"/>
      <w:pPr>
        <w:ind w:left="-1035" w:hanging="360"/>
      </w:pPr>
      <w:rPr>
        <w:rFonts w:ascii="Courier New" w:hAnsi="Courier New" w:cs="Courier New" w:hint="default"/>
      </w:rPr>
    </w:lvl>
    <w:lvl w:ilvl="2" w:tplc="08090005" w:tentative="1">
      <w:start w:val="1"/>
      <w:numFmt w:val="bullet"/>
      <w:lvlText w:val=""/>
      <w:lvlJc w:val="left"/>
      <w:pPr>
        <w:ind w:left="-315" w:hanging="360"/>
      </w:pPr>
      <w:rPr>
        <w:rFonts w:ascii="Wingdings" w:hAnsi="Wingdings" w:hint="default"/>
      </w:rPr>
    </w:lvl>
    <w:lvl w:ilvl="3" w:tplc="08090001" w:tentative="1">
      <w:start w:val="1"/>
      <w:numFmt w:val="bullet"/>
      <w:lvlText w:val=""/>
      <w:lvlJc w:val="left"/>
      <w:pPr>
        <w:ind w:left="405" w:hanging="360"/>
      </w:pPr>
      <w:rPr>
        <w:rFonts w:ascii="Symbol" w:hAnsi="Symbol" w:hint="default"/>
      </w:rPr>
    </w:lvl>
    <w:lvl w:ilvl="4" w:tplc="08090003" w:tentative="1">
      <w:start w:val="1"/>
      <w:numFmt w:val="bullet"/>
      <w:lvlText w:val="o"/>
      <w:lvlJc w:val="left"/>
      <w:pPr>
        <w:ind w:left="1125" w:hanging="360"/>
      </w:pPr>
      <w:rPr>
        <w:rFonts w:ascii="Courier New" w:hAnsi="Courier New" w:cs="Courier New" w:hint="default"/>
      </w:rPr>
    </w:lvl>
    <w:lvl w:ilvl="5" w:tplc="08090005" w:tentative="1">
      <w:start w:val="1"/>
      <w:numFmt w:val="bullet"/>
      <w:lvlText w:val=""/>
      <w:lvlJc w:val="left"/>
      <w:pPr>
        <w:ind w:left="1845" w:hanging="360"/>
      </w:pPr>
      <w:rPr>
        <w:rFonts w:ascii="Wingdings" w:hAnsi="Wingdings" w:hint="default"/>
      </w:rPr>
    </w:lvl>
    <w:lvl w:ilvl="6" w:tplc="08090001" w:tentative="1">
      <w:start w:val="1"/>
      <w:numFmt w:val="bullet"/>
      <w:lvlText w:val=""/>
      <w:lvlJc w:val="left"/>
      <w:pPr>
        <w:ind w:left="2565" w:hanging="360"/>
      </w:pPr>
      <w:rPr>
        <w:rFonts w:ascii="Symbol" w:hAnsi="Symbol" w:hint="default"/>
      </w:rPr>
    </w:lvl>
    <w:lvl w:ilvl="7" w:tplc="08090003" w:tentative="1">
      <w:start w:val="1"/>
      <w:numFmt w:val="bullet"/>
      <w:lvlText w:val="o"/>
      <w:lvlJc w:val="left"/>
      <w:pPr>
        <w:ind w:left="3285" w:hanging="360"/>
      </w:pPr>
      <w:rPr>
        <w:rFonts w:ascii="Courier New" w:hAnsi="Courier New" w:cs="Courier New" w:hint="default"/>
      </w:rPr>
    </w:lvl>
    <w:lvl w:ilvl="8" w:tplc="08090005" w:tentative="1">
      <w:start w:val="1"/>
      <w:numFmt w:val="bullet"/>
      <w:lvlText w:val=""/>
      <w:lvlJc w:val="left"/>
      <w:pPr>
        <w:ind w:left="4005" w:hanging="360"/>
      </w:pPr>
      <w:rPr>
        <w:rFonts w:ascii="Wingdings" w:hAnsi="Wingdings" w:hint="default"/>
      </w:rPr>
    </w:lvl>
  </w:abstractNum>
  <w:abstractNum w:abstractNumId="40" w15:restartNumberingAfterBreak="0">
    <w:nsid w:val="6C22291B"/>
    <w:multiLevelType w:val="hybridMultilevel"/>
    <w:tmpl w:val="3C46AD36"/>
    <w:lvl w:ilvl="0" w:tplc="0809000F">
      <w:start w:val="3"/>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1" w15:restartNumberingAfterBreak="0">
    <w:nsid w:val="6C3C018C"/>
    <w:multiLevelType w:val="multilevel"/>
    <w:tmpl w:val="25F44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E03381F"/>
    <w:multiLevelType w:val="multilevel"/>
    <w:tmpl w:val="88C21D56"/>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3" w15:restartNumberingAfterBreak="0">
    <w:nsid w:val="72E87941"/>
    <w:multiLevelType w:val="multilevel"/>
    <w:tmpl w:val="1D909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92D7806"/>
    <w:multiLevelType w:val="multilevel"/>
    <w:tmpl w:val="BFB07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D405A9C"/>
    <w:multiLevelType w:val="multilevel"/>
    <w:tmpl w:val="930A5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D6C6F1C"/>
    <w:multiLevelType w:val="multilevel"/>
    <w:tmpl w:val="B8BA2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21685065">
    <w:abstractNumId w:val="34"/>
  </w:num>
  <w:num w:numId="2" w16cid:durableId="143813323">
    <w:abstractNumId w:val="28"/>
  </w:num>
  <w:num w:numId="3" w16cid:durableId="105665287">
    <w:abstractNumId w:val="15"/>
  </w:num>
  <w:num w:numId="4" w16cid:durableId="130829470">
    <w:abstractNumId w:val="32"/>
  </w:num>
  <w:num w:numId="5" w16cid:durableId="679937865">
    <w:abstractNumId w:val="5"/>
  </w:num>
  <w:num w:numId="6" w16cid:durableId="1311211322">
    <w:abstractNumId w:val="25"/>
  </w:num>
  <w:num w:numId="7" w16cid:durableId="374086583">
    <w:abstractNumId w:val="42"/>
  </w:num>
  <w:num w:numId="8" w16cid:durableId="200555977">
    <w:abstractNumId w:val="3"/>
  </w:num>
  <w:num w:numId="9" w16cid:durableId="346905614">
    <w:abstractNumId w:val="31"/>
  </w:num>
  <w:num w:numId="10" w16cid:durableId="915436233">
    <w:abstractNumId w:val="1"/>
  </w:num>
  <w:num w:numId="11" w16cid:durableId="170221312">
    <w:abstractNumId w:val="18"/>
  </w:num>
  <w:num w:numId="12" w16cid:durableId="241574751">
    <w:abstractNumId w:val="24"/>
  </w:num>
  <w:num w:numId="13" w16cid:durableId="583533703">
    <w:abstractNumId w:val="39"/>
  </w:num>
  <w:num w:numId="14" w16cid:durableId="519007921">
    <w:abstractNumId w:val="9"/>
  </w:num>
  <w:num w:numId="15" w16cid:durableId="1898854083">
    <w:abstractNumId w:val="40"/>
  </w:num>
  <w:num w:numId="16" w16cid:durableId="2038120122">
    <w:abstractNumId w:val="14"/>
  </w:num>
  <w:num w:numId="17" w16cid:durableId="1094546950">
    <w:abstractNumId w:val="46"/>
  </w:num>
  <w:num w:numId="18" w16cid:durableId="1404328053">
    <w:abstractNumId w:val="19"/>
  </w:num>
  <w:num w:numId="19" w16cid:durableId="1843811858">
    <w:abstractNumId w:val="16"/>
  </w:num>
  <w:num w:numId="20" w16cid:durableId="67196356">
    <w:abstractNumId w:val="7"/>
  </w:num>
  <w:num w:numId="21" w16cid:durableId="2010983965">
    <w:abstractNumId w:val="44"/>
  </w:num>
  <w:num w:numId="22" w16cid:durableId="1619483194">
    <w:abstractNumId w:val="36"/>
  </w:num>
  <w:num w:numId="23" w16cid:durableId="1122381212">
    <w:abstractNumId w:val="22"/>
  </w:num>
  <w:num w:numId="24" w16cid:durableId="1327516460">
    <w:abstractNumId w:val="41"/>
  </w:num>
  <w:num w:numId="25" w16cid:durableId="1235311655">
    <w:abstractNumId w:val="11"/>
  </w:num>
  <w:num w:numId="26" w16cid:durableId="207451023">
    <w:abstractNumId w:val="26"/>
  </w:num>
  <w:num w:numId="27" w16cid:durableId="1847012607">
    <w:abstractNumId w:val="33"/>
  </w:num>
  <w:num w:numId="28" w16cid:durableId="1346320521">
    <w:abstractNumId w:val="13"/>
  </w:num>
  <w:num w:numId="29" w16cid:durableId="1569998254">
    <w:abstractNumId w:val="2"/>
  </w:num>
  <w:num w:numId="30" w16cid:durableId="1132091572">
    <w:abstractNumId w:val="43"/>
  </w:num>
  <w:num w:numId="31" w16cid:durableId="1786536">
    <w:abstractNumId w:val="37"/>
  </w:num>
  <w:num w:numId="32" w16cid:durableId="1068964130">
    <w:abstractNumId w:val="4"/>
  </w:num>
  <w:num w:numId="33" w16cid:durableId="2057271869">
    <w:abstractNumId w:val="0"/>
  </w:num>
  <w:num w:numId="34" w16cid:durableId="1018237391">
    <w:abstractNumId w:val="8"/>
  </w:num>
  <w:num w:numId="35" w16cid:durableId="364721207">
    <w:abstractNumId w:val="35"/>
  </w:num>
  <w:num w:numId="36" w16cid:durableId="381369548">
    <w:abstractNumId w:val="20"/>
  </w:num>
  <w:num w:numId="37" w16cid:durableId="1805662131">
    <w:abstractNumId w:val="21"/>
  </w:num>
  <w:num w:numId="38" w16cid:durableId="705256571">
    <w:abstractNumId w:val="45"/>
  </w:num>
  <w:num w:numId="39" w16cid:durableId="261300524">
    <w:abstractNumId w:val="30"/>
  </w:num>
  <w:num w:numId="40" w16cid:durableId="1038122951">
    <w:abstractNumId w:val="29"/>
  </w:num>
  <w:num w:numId="41" w16cid:durableId="264272171">
    <w:abstractNumId w:val="27"/>
  </w:num>
  <w:num w:numId="42" w16cid:durableId="277689866">
    <w:abstractNumId w:val="17"/>
  </w:num>
  <w:num w:numId="43" w16cid:durableId="1553926149">
    <w:abstractNumId w:val="23"/>
  </w:num>
  <w:num w:numId="44" w16cid:durableId="2075814603">
    <w:abstractNumId w:val="12"/>
  </w:num>
  <w:num w:numId="45" w16cid:durableId="1322154464">
    <w:abstractNumId w:val="38"/>
  </w:num>
  <w:num w:numId="46" w16cid:durableId="225191504">
    <w:abstractNumId w:val="6"/>
  </w:num>
  <w:num w:numId="47" w16cid:durableId="68772464">
    <w:abstractNumId w:val="10"/>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51E3"/>
    <w:rsid w:val="000001A0"/>
    <w:rsid w:val="00000874"/>
    <w:rsid w:val="00002507"/>
    <w:rsid w:val="000035C3"/>
    <w:rsid w:val="00004E57"/>
    <w:rsid w:val="000057D2"/>
    <w:rsid w:val="00007A09"/>
    <w:rsid w:val="000111FF"/>
    <w:rsid w:val="00013F1B"/>
    <w:rsid w:val="000148F9"/>
    <w:rsid w:val="00014E78"/>
    <w:rsid w:val="000152BE"/>
    <w:rsid w:val="00016621"/>
    <w:rsid w:val="00021567"/>
    <w:rsid w:val="00022F97"/>
    <w:rsid w:val="00025280"/>
    <w:rsid w:val="000254BA"/>
    <w:rsid w:val="0002566E"/>
    <w:rsid w:val="00025958"/>
    <w:rsid w:val="00026207"/>
    <w:rsid w:val="0002625D"/>
    <w:rsid w:val="00031CFD"/>
    <w:rsid w:val="000337DD"/>
    <w:rsid w:val="00035568"/>
    <w:rsid w:val="00036E6B"/>
    <w:rsid w:val="000402C8"/>
    <w:rsid w:val="000420A5"/>
    <w:rsid w:val="00043044"/>
    <w:rsid w:val="000438F3"/>
    <w:rsid w:val="00043F01"/>
    <w:rsid w:val="00045E85"/>
    <w:rsid w:val="00046215"/>
    <w:rsid w:val="00046599"/>
    <w:rsid w:val="00046E7A"/>
    <w:rsid w:val="00047130"/>
    <w:rsid w:val="000479DE"/>
    <w:rsid w:val="00047B8D"/>
    <w:rsid w:val="0005021E"/>
    <w:rsid w:val="00051EFC"/>
    <w:rsid w:val="00052DEA"/>
    <w:rsid w:val="0005498C"/>
    <w:rsid w:val="00055BB3"/>
    <w:rsid w:val="00062735"/>
    <w:rsid w:val="00063BFD"/>
    <w:rsid w:val="000647AD"/>
    <w:rsid w:val="00067651"/>
    <w:rsid w:val="00067A05"/>
    <w:rsid w:val="00071304"/>
    <w:rsid w:val="00072E70"/>
    <w:rsid w:val="0007466D"/>
    <w:rsid w:val="00074BD4"/>
    <w:rsid w:val="00075318"/>
    <w:rsid w:val="00076541"/>
    <w:rsid w:val="0007681B"/>
    <w:rsid w:val="000800F6"/>
    <w:rsid w:val="000822F1"/>
    <w:rsid w:val="00083FE4"/>
    <w:rsid w:val="000844E9"/>
    <w:rsid w:val="00085E96"/>
    <w:rsid w:val="000908F9"/>
    <w:rsid w:val="00092FCC"/>
    <w:rsid w:val="000931C6"/>
    <w:rsid w:val="00097EFE"/>
    <w:rsid w:val="000A00F8"/>
    <w:rsid w:val="000A1BD4"/>
    <w:rsid w:val="000A1F92"/>
    <w:rsid w:val="000A2037"/>
    <w:rsid w:val="000A3B24"/>
    <w:rsid w:val="000A635F"/>
    <w:rsid w:val="000B054A"/>
    <w:rsid w:val="000B2E94"/>
    <w:rsid w:val="000B3104"/>
    <w:rsid w:val="000B3F77"/>
    <w:rsid w:val="000B413B"/>
    <w:rsid w:val="000B460B"/>
    <w:rsid w:val="000B6800"/>
    <w:rsid w:val="000B6D33"/>
    <w:rsid w:val="000C048F"/>
    <w:rsid w:val="000C28A3"/>
    <w:rsid w:val="000C3211"/>
    <w:rsid w:val="000C4576"/>
    <w:rsid w:val="000C53F0"/>
    <w:rsid w:val="000D1CFC"/>
    <w:rsid w:val="000D3F1C"/>
    <w:rsid w:val="000D53D5"/>
    <w:rsid w:val="000D5818"/>
    <w:rsid w:val="000D6239"/>
    <w:rsid w:val="000D67E6"/>
    <w:rsid w:val="000D693A"/>
    <w:rsid w:val="000D7631"/>
    <w:rsid w:val="000D7A91"/>
    <w:rsid w:val="000E37F6"/>
    <w:rsid w:val="000E386D"/>
    <w:rsid w:val="000E5944"/>
    <w:rsid w:val="000E5E24"/>
    <w:rsid w:val="000F0186"/>
    <w:rsid w:val="000F208E"/>
    <w:rsid w:val="000F3063"/>
    <w:rsid w:val="000F354F"/>
    <w:rsid w:val="000F3555"/>
    <w:rsid w:val="000F486E"/>
    <w:rsid w:val="000F4BB0"/>
    <w:rsid w:val="000F5909"/>
    <w:rsid w:val="000F7268"/>
    <w:rsid w:val="001000BC"/>
    <w:rsid w:val="00100C36"/>
    <w:rsid w:val="00101347"/>
    <w:rsid w:val="00104BB1"/>
    <w:rsid w:val="00105F17"/>
    <w:rsid w:val="00106AAC"/>
    <w:rsid w:val="001072EA"/>
    <w:rsid w:val="00111A27"/>
    <w:rsid w:val="0011476B"/>
    <w:rsid w:val="0011499F"/>
    <w:rsid w:val="001151A5"/>
    <w:rsid w:val="00115669"/>
    <w:rsid w:val="0011688B"/>
    <w:rsid w:val="00116CD5"/>
    <w:rsid w:val="00117F2F"/>
    <w:rsid w:val="00122678"/>
    <w:rsid w:val="001232BE"/>
    <w:rsid w:val="00123587"/>
    <w:rsid w:val="00124757"/>
    <w:rsid w:val="00124B69"/>
    <w:rsid w:val="0012655E"/>
    <w:rsid w:val="00127092"/>
    <w:rsid w:val="00127C44"/>
    <w:rsid w:val="00133F5E"/>
    <w:rsid w:val="001347C6"/>
    <w:rsid w:val="00134A0A"/>
    <w:rsid w:val="0013780E"/>
    <w:rsid w:val="0013782F"/>
    <w:rsid w:val="0014251D"/>
    <w:rsid w:val="00143188"/>
    <w:rsid w:val="00145780"/>
    <w:rsid w:val="001502A7"/>
    <w:rsid w:val="00152230"/>
    <w:rsid w:val="0015257D"/>
    <w:rsid w:val="00153442"/>
    <w:rsid w:val="00153791"/>
    <w:rsid w:val="00160518"/>
    <w:rsid w:val="00162192"/>
    <w:rsid w:val="0016352D"/>
    <w:rsid w:val="00164B97"/>
    <w:rsid w:val="00166B33"/>
    <w:rsid w:val="001708D8"/>
    <w:rsid w:val="00170A24"/>
    <w:rsid w:val="00175E2D"/>
    <w:rsid w:val="00176734"/>
    <w:rsid w:val="00177243"/>
    <w:rsid w:val="00177B08"/>
    <w:rsid w:val="00177EAC"/>
    <w:rsid w:val="001803FA"/>
    <w:rsid w:val="001859C5"/>
    <w:rsid w:val="0019065E"/>
    <w:rsid w:val="00192FD1"/>
    <w:rsid w:val="00193C6E"/>
    <w:rsid w:val="00194C69"/>
    <w:rsid w:val="00194E42"/>
    <w:rsid w:val="001A086C"/>
    <w:rsid w:val="001A18C7"/>
    <w:rsid w:val="001A1DD6"/>
    <w:rsid w:val="001A4069"/>
    <w:rsid w:val="001A4480"/>
    <w:rsid w:val="001A50C1"/>
    <w:rsid w:val="001A5289"/>
    <w:rsid w:val="001B148A"/>
    <w:rsid w:val="001B17BB"/>
    <w:rsid w:val="001B2DEF"/>
    <w:rsid w:val="001B3A9F"/>
    <w:rsid w:val="001B47BB"/>
    <w:rsid w:val="001B50BF"/>
    <w:rsid w:val="001B524A"/>
    <w:rsid w:val="001C27BE"/>
    <w:rsid w:val="001C2B56"/>
    <w:rsid w:val="001C505A"/>
    <w:rsid w:val="001C7918"/>
    <w:rsid w:val="001D07D6"/>
    <w:rsid w:val="001D1FEE"/>
    <w:rsid w:val="001D3A67"/>
    <w:rsid w:val="001D42D3"/>
    <w:rsid w:val="001D56CC"/>
    <w:rsid w:val="001D5BEC"/>
    <w:rsid w:val="001E4903"/>
    <w:rsid w:val="001E493E"/>
    <w:rsid w:val="001E4ECE"/>
    <w:rsid w:val="001E50C0"/>
    <w:rsid w:val="001E61CA"/>
    <w:rsid w:val="001E6AE8"/>
    <w:rsid w:val="001E6C0E"/>
    <w:rsid w:val="001E751F"/>
    <w:rsid w:val="001E7B31"/>
    <w:rsid w:val="001F30B6"/>
    <w:rsid w:val="001F516F"/>
    <w:rsid w:val="001F690C"/>
    <w:rsid w:val="001F6B28"/>
    <w:rsid w:val="00201176"/>
    <w:rsid w:val="0020123F"/>
    <w:rsid w:val="002022BC"/>
    <w:rsid w:val="0020268D"/>
    <w:rsid w:val="00203DDE"/>
    <w:rsid w:val="00203FAB"/>
    <w:rsid w:val="0020692C"/>
    <w:rsid w:val="00210607"/>
    <w:rsid w:val="0021202A"/>
    <w:rsid w:val="00214010"/>
    <w:rsid w:val="00216814"/>
    <w:rsid w:val="00216DBB"/>
    <w:rsid w:val="00217D34"/>
    <w:rsid w:val="002208F5"/>
    <w:rsid w:val="002229BF"/>
    <w:rsid w:val="00224521"/>
    <w:rsid w:val="002268D4"/>
    <w:rsid w:val="00227FA1"/>
    <w:rsid w:val="002302C7"/>
    <w:rsid w:val="00232F76"/>
    <w:rsid w:val="00234798"/>
    <w:rsid w:val="002374C3"/>
    <w:rsid w:val="00240DA0"/>
    <w:rsid w:val="0024109A"/>
    <w:rsid w:val="00242333"/>
    <w:rsid w:val="002454EA"/>
    <w:rsid w:val="00250778"/>
    <w:rsid w:val="00251219"/>
    <w:rsid w:val="002521B6"/>
    <w:rsid w:val="0025401B"/>
    <w:rsid w:val="0025576B"/>
    <w:rsid w:val="002570CA"/>
    <w:rsid w:val="0026242D"/>
    <w:rsid w:val="00262851"/>
    <w:rsid w:val="00262B79"/>
    <w:rsid w:val="002638E1"/>
    <w:rsid w:val="00263A2F"/>
    <w:rsid w:val="00264482"/>
    <w:rsid w:val="00264F6C"/>
    <w:rsid w:val="00266161"/>
    <w:rsid w:val="0026681B"/>
    <w:rsid w:val="00267314"/>
    <w:rsid w:val="00267544"/>
    <w:rsid w:val="00267EED"/>
    <w:rsid w:val="002702AE"/>
    <w:rsid w:val="00270EFC"/>
    <w:rsid w:val="00272731"/>
    <w:rsid w:val="0027342E"/>
    <w:rsid w:val="002745AE"/>
    <w:rsid w:val="002751B9"/>
    <w:rsid w:val="0027534A"/>
    <w:rsid w:val="00277FA8"/>
    <w:rsid w:val="00285732"/>
    <w:rsid w:val="00286C3F"/>
    <w:rsid w:val="00287C15"/>
    <w:rsid w:val="00291671"/>
    <w:rsid w:val="00291922"/>
    <w:rsid w:val="00295306"/>
    <w:rsid w:val="00297234"/>
    <w:rsid w:val="002973D9"/>
    <w:rsid w:val="002979F0"/>
    <w:rsid w:val="002A0C1A"/>
    <w:rsid w:val="002A1D32"/>
    <w:rsid w:val="002A2907"/>
    <w:rsid w:val="002A33C8"/>
    <w:rsid w:val="002A35E2"/>
    <w:rsid w:val="002A3668"/>
    <w:rsid w:val="002A4850"/>
    <w:rsid w:val="002A68EE"/>
    <w:rsid w:val="002A75BD"/>
    <w:rsid w:val="002B0635"/>
    <w:rsid w:val="002B2887"/>
    <w:rsid w:val="002B2D33"/>
    <w:rsid w:val="002B2DA4"/>
    <w:rsid w:val="002B2ECF"/>
    <w:rsid w:val="002B326E"/>
    <w:rsid w:val="002B427A"/>
    <w:rsid w:val="002B452B"/>
    <w:rsid w:val="002B582D"/>
    <w:rsid w:val="002B5EAD"/>
    <w:rsid w:val="002B6527"/>
    <w:rsid w:val="002B6730"/>
    <w:rsid w:val="002B6D57"/>
    <w:rsid w:val="002B7371"/>
    <w:rsid w:val="002C0500"/>
    <w:rsid w:val="002C091F"/>
    <w:rsid w:val="002C0C4D"/>
    <w:rsid w:val="002C2F1C"/>
    <w:rsid w:val="002C2F40"/>
    <w:rsid w:val="002C3961"/>
    <w:rsid w:val="002C40BD"/>
    <w:rsid w:val="002C4C10"/>
    <w:rsid w:val="002C7732"/>
    <w:rsid w:val="002C7BF1"/>
    <w:rsid w:val="002D08E1"/>
    <w:rsid w:val="002D0C74"/>
    <w:rsid w:val="002D1417"/>
    <w:rsid w:val="002D1B26"/>
    <w:rsid w:val="002D2A1A"/>
    <w:rsid w:val="002D47F3"/>
    <w:rsid w:val="002D50FB"/>
    <w:rsid w:val="002D6B08"/>
    <w:rsid w:val="002D6CBD"/>
    <w:rsid w:val="002D6E38"/>
    <w:rsid w:val="002E098A"/>
    <w:rsid w:val="002E37A9"/>
    <w:rsid w:val="002E40B3"/>
    <w:rsid w:val="002E68E9"/>
    <w:rsid w:val="002E6ECA"/>
    <w:rsid w:val="002E7D56"/>
    <w:rsid w:val="002F014B"/>
    <w:rsid w:val="002F016C"/>
    <w:rsid w:val="002F31AF"/>
    <w:rsid w:val="002F3FE1"/>
    <w:rsid w:val="002F45DC"/>
    <w:rsid w:val="002F4A65"/>
    <w:rsid w:val="002F5125"/>
    <w:rsid w:val="002F6065"/>
    <w:rsid w:val="00302FFA"/>
    <w:rsid w:val="00304809"/>
    <w:rsid w:val="00307A35"/>
    <w:rsid w:val="00320125"/>
    <w:rsid w:val="0032033F"/>
    <w:rsid w:val="003232D1"/>
    <w:rsid w:val="003235F4"/>
    <w:rsid w:val="00324724"/>
    <w:rsid w:val="00325352"/>
    <w:rsid w:val="0032561F"/>
    <w:rsid w:val="003267B5"/>
    <w:rsid w:val="003270BE"/>
    <w:rsid w:val="003277DD"/>
    <w:rsid w:val="00327FEF"/>
    <w:rsid w:val="0033253D"/>
    <w:rsid w:val="003325F7"/>
    <w:rsid w:val="00332D65"/>
    <w:rsid w:val="00335CB0"/>
    <w:rsid w:val="003370FA"/>
    <w:rsid w:val="00337A13"/>
    <w:rsid w:val="0034083E"/>
    <w:rsid w:val="00341AD5"/>
    <w:rsid w:val="00342F50"/>
    <w:rsid w:val="00345405"/>
    <w:rsid w:val="00350313"/>
    <w:rsid w:val="003506B5"/>
    <w:rsid w:val="00350A11"/>
    <w:rsid w:val="0035116E"/>
    <w:rsid w:val="003531C1"/>
    <w:rsid w:val="00354753"/>
    <w:rsid w:val="00356979"/>
    <w:rsid w:val="00356C35"/>
    <w:rsid w:val="003573F0"/>
    <w:rsid w:val="003576D7"/>
    <w:rsid w:val="0036021B"/>
    <w:rsid w:val="00360FB2"/>
    <w:rsid w:val="003621DA"/>
    <w:rsid w:val="00362873"/>
    <w:rsid w:val="00362C32"/>
    <w:rsid w:val="00363DE2"/>
    <w:rsid w:val="003640BC"/>
    <w:rsid w:val="0036444C"/>
    <w:rsid w:val="00367018"/>
    <w:rsid w:val="00367273"/>
    <w:rsid w:val="003734FB"/>
    <w:rsid w:val="003768C6"/>
    <w:rsid w:val="00376E72"/>
    <w:rsid w:val="0037786D"/>
    <w:rsid w:val="00377E8C"/>
    <w:rsid w:val="00380160"/>
    <w:rsid w:val="0038041F"/>
    <w:rsid w:val="00384966"/>
    <w:rsid w:val="00385542"/>
    <w:rsid w:val="00392BC7"/>
    <w:rsid w:val="003931E1"/>
    <w:rsid w:val="00393391"/>
    <w:rsid w:val="0039448C"/>
    <w:rsid w:val="00396454"/>
    <w:rsid w:val="003979AD"/>
    <w:rsid w:val="003A3352"/>
    <w:rsid w:val="003A39E1"/>
    <w:rsid w:val="003A49B2"/>
    <w:rsid w:val="003A6E2B"/>
    <w:rsid w:val="003A71C7"/>
    <w:rsid w:val="003A7626"/>
    <w:rsid w:val="003A7AE1"/>
    <w:rsid w:val="003B00B9"/>
    <w:rsid w:val="003B3897"/>
    <w:rsid w:val="003B68F4"/>
    <w:rsid w:val="003C15BB"/>
    <w:rsid w:val="003C1D3D"/>
    <w:rsid w:val="003C4724"/>
    <w:rsid w:val="003C731D"/>
    <w:rsid w:val="003C7EB5"/>
    <w:rsid w:val="003D130C"/>
    <w:rsid w:val="003D73C7"/>
    <w:rsid w:val="003D7434"/>
    <w:rsid w:val="003D7AE8"/>
    <w:rsid w:val="003D7FF7"/>
    <w:rsid w:val="003E0B1E"/>
    <w:rsid w:val="003E1D10"/>
    <w:rsid w:val="003E20C4"/>
    <w:rsid w:val="003E2CD1"/>
    <w:rsid w:val="003E4049"/>
    <w:rsid w:val="003E6BA8"/>
    <w:rsid w:val="003E7682"/>
    <w:rsid w:val="003E7725"/>
    <w:rsid w:val="003E7A60"/>
    <w:rsid w:val="003F416A"/>
    <w:rsid w:val="003F49DC"/>
    <w:rsid w:val="003F5B18"/>
    <w:rsid w:val="004004A8"/>
    <w:rsid w:val="00401A94"/>
    <w:rsid w:val="00401B75"/>
    <w:rsid w:val="00402F4B"/>
    <w:rsid w:val="00403B12"/>
    <w:rsid w:val="004042F3"/>
    <w:rsid w:val="004108C5"/>
    <w:rsid w:val="00410F3E"/>
    <w:rsid w:val="00411313"/>
    <w:rsid w:val="0041193D"/>
    <w:rsid w:val="00412376"/>
    <w:rsid w:val="004128FC"/>
    <w:rsid w:val="004146B5"/>
    <w:rsid w:val="00416ED4"/>
    <w:rsid w:val="00421128"/>
    <w:rsid w:val="004219E6"/>
    <w:rsid w:val="0042207B"/>
    <w:rsid w:val="00422258"/>
    <w:rsid w:val="00423BA5"/>
    <w:rsid w:val="00423F61"/>
    <w:rsid w:val="00424980"/>
    <w:rsid w:val="004255C2"/>
    <w:rsid w:val="00430940"/>
    <w:rsid w:val="00433348"/>
    <w:rsid w:val="00435853"/>
    <w:rsid w:val="00435DD7"/>
    <w:rsid w:val="00436549"/>
    <w:rsid w:val="00441855"/>
    <w:rsid w:val="00441BF5"/>
    <w:rsid w:val="004433B8"/>
    <w:rsid w:val="00445304"/>
    <w:rsid w:val="00445530"/>
    <w:rsid w:val="004463DB"/>
    <w:rsid w:val="00446570"/>
    <w:rsid w:val="00446E73"/>
    <w:rsid w:val="00452451"/>
    <w:rsid w:val="00452F0E"/>
    <w:rsid w:val="004544B5"/>
    <w:rsid w:val="00456014"/>
    <w:rsid w:val="004602F8"/>
    <w:rsid w:val="00461B21"/>
    <w:rsid w:val="00462A39"/>
    <w:rsid w:val="004671CD"/>
    <w:rsid w:val="00470A67"/>
    <w:rsid w:val="00471D27"/>
    <w:rsid w:val="004724BD"/>
    <w:rsid w:val="00474619"/>
    <w:rsid w:val="00477378"/>
    <w:rsid w:val="0047741B"/>
    <w:rsid w:val="00480257"/>
    <w:rsid w:val="00481172"/>
    <w:rsid w:val="0048127B"/>
    <w:rsid w:val="00481663"/>
    <w:rsid w:val="00482018"/>
    <w:rsid w:val="0048319C"/>
    <w:rsid w:val="00483E10"/>
    <w:rsid w:val="00484094"/>
    <w:rsid w:val="0048413B"/>
    <w:rsid w:val="00484ED0"/>
    <w:rsid w:val="00486AA3"/>
    <w:rsid w:val="00487306"/>
    <w:rsid w:val="00487904"/>
    <w:rsid w:val="004904D5"/>
    <w:rsid w:val="00490EA5"/>
    <w:rsid w:val="00492BB5"/>
    <w:rsid w:val="00492EFE"/>
    <w:rsid w:val="0049480E"/>
    <w:rsid w:val="00494FC3"/>
    <w:rsid w:val="004A0213"/>
    <w:rsid w:val="004A02D4"/>
    <w:rsid w:val="004A2846"/>
    <w:rsid w:val="004A2E4C"/>
    <w:rsid w:val="004A4390"/>
    <w:rsid w:val="004A5057"/>
    <w:rsid w:val="004A7DF0"/>
    <w:rsid w:val="004B3639"/>
    <w:rsid w:val="004B4CAD"/>
    <w:rsid w:val="004C0BF5"/>
    <w:rsid w:val="004C13C7"/>
    <w:rsid w:val="004C1A9A"/>
    <w:rsid w:val="004C23CC"/>
    <w:rsid w:val="004C312E"/>
    <w:rsid w:val="004C3D19"/>
    <w:rsid w:val="004C6577"/>
    <w:rsid w:val="004C6EEE"/>
    <w:rsid w:val="004C73BD"/>
    <w:rsid w:val="004C782C"/>
    <w:rsid w:val="004C79D9"/>
    <w:rsid w:val="004D0828"/>
    <w:rsid w:val="004E01B7"/>
    <w:rsid w:val="004E2510"/>
    <w:rsid w:val="004E29F4"/>
    <w:rsid w:val="004E7336"/>
    <w:rsid w:val="004E752F"/>
    <w:rsid w:val="004F0470"/>
    <w:rsid w:val="004F26BC"/>
    <w:rsid w:val="005006D3"/>
    <w:rsid w:val="00506CA9"/>
    <w:rsid w:val="00506D53"/>
    <w:rsid w:val="0051049D"/>
    <w:rsid w:val="005112E4"/>
    <w:rsid w:val="005116F2"/>
    <w:rsid w:val="005124FA"/>
    <w:rsid w:val="005128C9"/>
    <w:rsid w:val="0051467D"/>
    <w:rsid w:val="005148F2"/>
    <w:rsid w:val="00517467"/>
    <w:rsid w:val="005179EC"/>
    <w:rsid w:val="00520DD3"/>
    <w:rsid w:val="005213B9"/>
    <w:rsid w:val="00523351"/>
    <w:rsid w:val="005245FD"/>
    <w:rsid w:val="0052481F"/>
    <w:rsid w:val="005250B7"/>
    <w:rsid w:val="00533848"/>
    <w:rsid w:val="00536B7C"/>
    <w:rsid w:val="00537520"/>
    <w:rsid w:val="005376EB"/>
    <w:rsid w:val="00537DCA"/>
    <w:rsid w:val="00540133"/>
    <w:rsid w:val="00541288"/>
    <w:rsid w:val="00544FCB"/>
    <w:rsid w:val="005450FB"/>
    <w:rsid w:val="00547F50"/>
    <w:rsid w:val="00550496"/>
    <w:rsid w:val="00554344"/>
    <w:rsid w:val="005551F7"/>
    <w:rsid w:val="00557071"/>
    <w:rsid w:val="00560617"/>
    <w:rsid w:val="005616C2"/>
    <w:rsid w:val="0056298D"/>
    <w:rsid w:val="00562A5E"/>
    <w:rsid w:val="005664F7"/>
    <w:rsid w:val="005700E3"/>
    <w:rsid w:val="0057211B"/>
    <w:rsid w:val="005728CA"/>
    <w:rsid w:val="005733F6"/>
    <w:rsid w:val="00576560"/>
    <w:rsid w:val="00577BDE"/>
    <w:rsid w:val="00580895"/>
    <w:rsid w:val="00582A64"/>
    <w:rsid w:val="005835D2"/>
    <w:rsid w:val="00583921"/>
    <w:rsid w:val="00584BBC"/>
    <w:rsid w:val="00590A4D"/>
    <w:rsid w:val="005915AC"/>
    <w:rsid w:val="0059465B"/>
    <w:rsid w:val="00596ECC"/>
    <w:rsid w:val="005A01E5"/>
    <w:rsid w:val="005A0C07"/>
    <w:rsid w:val="005A3312"/>
    <w:rsid w:val="005A439A"/>
    <w:rsid w:val="005A55F8"/>
    <w:rsid w:val="005A5AA2"/>
    <w:rsid w:val="005A5EB5"/>
    <w:rsid w:val="005A725D"/>
    <w:rsid w:val="005B0B9B"/>
    <w:rsid w:val="005B1DFF"/>
    <w:rsid w:val="005B4E6C"/>
    <w:rsid w:val="005C07F8"/>
    <w:rsid w:val="005C2040"/>
    <w:rsid w:val="005C34DB"/>
    <w:rsid w:val="005C409C"/>
    <w:rsid w:val="005C4629"/>
    <w:rsid w:val="005C4D22"/>
    <w:rsid w:val="005C73A9"/>
    <w:rsid w:val="005D102B"/>
    <w:rsid w:val="005D19D3"/>
    <w:rsid w:val="005D342C"/>
    <w:rsid w:val="005D3BDC"/>
    <w:rsid w:val="005D4766"/>
    <w:rsid w:val="005D69F6"/>
    <w:rsid w:val="005D6ECC"/>
    <w:rsid w:val="005D6F3C"/>
    <w:rsid w:val="005D7C90"/>
    <w:rsid w:val="005E08AA"/>
    <w:rsid w:val="005E3555"/>
    <w:rsid w:val="005E416C"/>
    <w:rsid w:val="005E5659"/>
    <w:rsid w:val="005E5D49"/>
    <w:rsid w:val="005E659E"/>
    <w:rsid w:val="005E6B45"/>
    <w:rsid w:val="005F0D7F"/>
    <w:rsid w:val="005F12F0"/>
    <w:rsid w:val="005F229F"/>
    <w:rsid w:val="005F7752"/>
    <w:rsid w:val="005F7CB7"/>
    <w:rsid w:val="00600E6A"/>
    <w:rsid w:val="006046B3"/>
    <w:rsid w:val="0060561A"/>
    <w:rsid w:val="00606F7E"/>
    <w:rsid w:val="00607714"/>
    <w:rsid w:val="006124B0"/>
    <w:rsid w:val="00613823"/>
    <w:rsid w:val="006204CD"/>
    <w:rsid w:val="0062204D"/>
    <w:rsid w:val="00623084"/>
    <w:rsid w:val="00624248"/>
    <w:rsid w:val="00626A34"/>
    <w:rsid w:val="00626A77"/>
    <w:rsid w:val="00630756"/>
    <w:rsid w:val="00631E99"/>
    <w:rsid w:val="00632DB9"/>
    <w:rsid w:val="006349CE"/>
    <w:rsid w:val="00635653"/>
    <w:rsid w:val="006368BB"/>
    <w:rsid w:val="00636A50"/>
    <w:rsid w:val="0063703F"/>
    <w:rsid w:val="006406CB"/>
    <w:rsid w:val="00641B87"/>
    <w:rsid w:val="00643E6A"/>
    <w:rsid w:val="0064453B"/>
    <w:rsid w:val="006465A1"/>
    <w:rsid w:val="00646F0B"/>
    <w:rsid w:val="00647112"/>
    <w:rsid w:val="006478AC"/>
    <w:rsid w:val="00647E7C"/>
    <w:rsid w:val="00650EB1"/>
    <w:rsid w:val="0065121F"/>
    <w:rsid w:val="00655721"/>
    <w:rsid w:val="00656599"/>
    <w:rsid w:val="00660010"/>
    <w:rsid w:val="00662DBC"/>
    <w:rsid w:val="00663C7D"/>
    <w:rsid w:val="00664C95"/>
    <w:rsid w:val="00665D4B"/>
    <w:rsid w:val="00670416"/>
    <w:rsid w:val="00673948"/>
    <w:rsid w:val="00674988"/>
    <w:rsid w:val="0067672D"/>
    <w:rsid w:val="00680ABF"/>
    <w:rsid w:val="00681B52"/>
    <w:rsid w:val="00682D2C"/>
    <w:rsid w:val="00685236"/>
    <w:rsid w:val="00685A6B"/>
    <w:rsid w:val="0068651E"/>
    <w:rsid w:val="00691CE1"/>
    <w:rsid w:val="00692336"/>
    <w:rsid w:val="00692849"/>
    <w:rsid w:val="00692A01"/>
    <w:rsid w:val="00693DCF"/>
    <w:rsid w:val="006953E1"/>
    <w:rsid w:val="006A1B08"/>
    <w:rsid w:val="006A327E"/>
    <w:rsid w:val="006A6891"/>
    <w:rsid w:val="006B0F8E"/>
    <w:rsid w:val="006B109E"/>
    <w:rsid w:val="006B1552"/>
    <w:rsid w:val="006B1E6A"/>
    <w:rsid w:val="006B2544"/>
    <w:rsid w:val="006B2BB7"/>
    <w:rsid w:val="006B5347"/>
    <w:rsid w:val="006B56C9"/>
    <w:rsid w:val="006B56E3"/>
    <w:rsid w:val="006B6765"/>
    <w:rsid w:val="006B70CD"/>
    <w:rsid w:val="006B7AB5"/>
    <w:rsid w:val="006C009C"/>
    <w:rsid w:val="006C0171"/>
    <w:rsid w:val="006C474F"/>
    <w:rsid w:val="006C5A72"/>
    <w:rsid w:val="006C6743"/>
    <w:rsid w:val="006D0BED"/>
    <w:rsid w:val="006D125F"/>
    <w:rsid w:val="006D1B46"/>
    <w:rsid w:val="006D3051"/>
    <w:rsid w:val="006D796C"/>
    <w:rsid w:val="006D7F7E"/>
    <w:rsid w:val="006E0D2D"/>
    <w:rsid w:val="006E1997"/>
    <w:rsid w:val="006E210B"/>
    <w:rsid w:val="006E433D"/>
    <w:rsid w:val="006E4967"/>
    <w:rsid w:val="006F06BE"/>
    <w:rsid w:val="006F29C0"/>
    <w:rsid w:val="006F2E37"/>
    <w:rsid w:val="006F3A57"/>
    <w:rsid w:val="006F3AFF"/>
    <w:rsid w:val="006F4932"/>
    <w:rsid w:val="006F49FB"/>
    <w:rsid w:val="006F7652"/>
    <w:rsid w:val="006F7ED3"/>
    <w:rsid w:val="00701705"/>
    <w:rsid w:val="00701854"/>
    <w:rsid w:val="00702E51"/>
    <w:rsid w:val="00704261"/>
    <w:rsid w:val="007059E0"/>
    <w:rsid w:val="00705F3E"/>
    <w:rsid w:val="007132F4"/>
    <w:rsid w:val="007201BF"/>
    <w:rsid w:val="007208C9"/>
    <w:rsid w:val="00721DDC"/>
    <w:rsid w:val="007238D5"/>
    <w:rsid w:val="0072720A"/>
    <w:rsid w:val="0073068C"/>
    <w:rsid w:val="00731453"/>
    <w:rsid w:val="00736210"/>
    <w:rsid w:val="007368D1"/>
    <w:rsid w:val="00737346"/>
    <w:rsid w:val="00743663"/>
    <w:rsid w:val="00744981"/>
    <w:rsid w:val="00747FA4"/>
    <w:rsid w:val="0075143F"/>
    <w:rsid w:val="00751E25"/>
    <w:rsid w:val="00752531"/>
    <w:rsid w:val="00753021"/>
    <w:rsid w:val="00754821"/>
    <w:rsid w:val="00754BD6"/>
    <w:rsid w:val="00755226"/>
    <w:rsid w:val="007609FD"/>
    <w:rsid w:val="00762E6B"/>
    <w:rsid w:val="007675DA"/>
    <w:rsid w:val="00770F33"/>
    <w:rsid w:val="007720D1"/>
    <w:rsid w:val="0077219A"/>
    <w:rsid w:val="00772BE2"/>
    <w:rsid w:val="007733E7"/>
    <w:rsid w:val="007734DC"/>
    <w:rsid w:val="00774247"/>
    <w:rsid w:val="00775409"/>
    <w:rsid w:val="00775CA7"/>
    <w:rsid w:val="007763BA"/>
    <w:rsid w:val="00776770"/>
    <w:rsid w:val="0078188E"/>
    <w:rsid w:val="00781CD1"/>
    <w:rsid w:val="00781DA4"/>
    <w:rsid w:val="007847BD"/>
    <w:rsid w:val="00784BAC"/>
    <w:rsid w:val="00785343"/>
    <w:rsid w:val="00794432"/>
    <w:rsid w:val="00794F7C"/>
    <w:rsid w:val="00797560"/>
    <w:rsid w:val="00797A24"/>
    <w:rsid w:val="00797FF2"/>
    <w:rsid w:val="007A201E"/>
    <w:rsid w:val="007A308F"/>
    <w:rsid w:val="007A5E36"/>
    <w:rsid w:val="007B007A"/>
    <w:rsid w:val="007B70D0"/>
    <w:rsid w:val="007B78E3"/>
    <w:rsid w:val="007C479B"/>
    <w:rsid w:val="007D016A"/>
    <w:rsid w:val="007D0D48"/>
    <w:rsid w:val="007D101B"/>
    <w:rsid w:val="007D45EC"/>
    <w:rsid w:val="007D48B7"/>
    <w:rsid w:val="007E005E"/>
    <w:rsid w:val="007E02DA"/>
    <w:rsid w:val="007E0AB0"/>
    <w:rsid w:val="007E3F5D"/>
    <w:rsid w:val="007E4D53"/>
    <w:rsid w:val="007E7030"/>
    <w:rsid w:val="007E79AB"/>
    <w:rsid w:val="007E7DA6"/>
    <w:rsid w:val="007F146C"/>
    <w:rsid w:val="007F37AA"/>
    <w:rsid w:val="007F3FA2"/>
    <w:rsid w:val="007F76E9"/>
    <w:rsid w:val="0080013B"/>
    <w:rsid w:val="008006D6"/>
    <w:rsid w:val="00800CE5"/>
    <w:rsid w:val="0080183C"/>
    <w:rsid w:val="008026A6"/>
    <w:rsid w:val="00802D33"/>
    <w:rsid w:val="00806032"/>
    <w:rsid w:val="00806BE3"/>
    <w:rsid w:val="008116F0"/>
    <w:rsid w:val="008121D9"/>
    <w:rsid w:val="0081516B"/>
    <w:rsid w:val="0082188B"/>
    <w:rsid w:val="00821ED8"/>
    <w:rsid w:val="00822569"/>
    <w:rsid w:val="008229DE"/>
    <w:rsid w:val="008241DD"/>
    <w:rsid w:val="00825109"/>
    <w:rsid w:val="00831597"/>
    <w:rsid w:val="00833460"/>
    <w:rsid w:val="00834DA7"/>
    <w:rsid w:val="00836BAB"/>
    <w:rsid w:val="00837C3B"/>
    <w:rsid w:val="00843AF6"/>
    <w:rsid w:val="00846955"/>
    <w:rsid w:val="008469AC"/>
    <w:rsid w:val="00846F91"/>
    <w:rsid w:val="0085046B"/>
    <w:rsid w:val="008513D4"/>
    <w:rsid w:val="00854D8A"/>
    <w:rsid w:val="008572F0"/>
    <w:rsid w:val="0085753A"/>
    <w:rsid w:val="0085774D"/>
    <w:rsid w:val="00860295"/>
    <w:rsid w:val="008615DF"/>
    <w:rsid w:val="00863299"/>
    <w:rsid w:val="00865509"/>
    <w:rsid w:val="00865AE6"/>
    <w:rsid w:val="00870496"/>
    <w:rsid w:val="00870D98"/>
    <w:rsid w:val="00872E1B"/>
    <w:rsid w:val="00872F5B"/>
    <w:rsid w:val="00875B0D"/>
    <w:rsid w:val="008814E5"/>
    <w:rsid w:val="00881686"/>
    <w:rsid w:val="00881F75"/>
    <w:rsid w:val="00882147"/>
    <w:rsid w:val="00882B81"/>
    <w:rsid w:val="008862C7"/>
    <w:rsid w:val="00887EB7"/>
    <w:rsid w:val="00890890"/>
    <w:rsid w:val="008945C6"/>
    <w:rsid w:val="00896840"/>
    <w:rsid w:val="00897211"/>
    <w:rsid w:val="008A5534"/>
    <w:rsid w:val="008A61E6"/>
    <w:rsid w:val="008A6673"/>
    <w:rsid w:val="008A73C3"/>
    <w:rsid w:val="008A7420"/>
    <w:rsid w:val="008B0F79"/>
    <w:rsid w:val="008B20F8"/>
    <w:rsid w:val="008B2D92"/>
    <w:rsid w:val="008B3996"/>
    <w:rsid w:val="008B426C"/>
    <w:rsid w:val="008B45AB"/>
    <w:rsid w:val="008B473C"/>
    <w:rsid w:val="008B5DE0"/>
    <w:rsid w:val="008B5EDA"/>
    <w:rsid w:val="008B701E"/>
    <w:rsid w:val="008C188A"/>
    <w:rsid w:val="008C2B48"/>
    <w:rsid w:val="008C3A90"/>
    <w:rsid w:val="008C4BA0"/>
    <w:rsid w:val="008C4E64"/>
    <w:rsid w:val="008C5970"/>
    <w:rsid w:val="008C5F3F"/>
    <w:rsid w:val="008C618F"/>
    <w:rsid w:val="008D01F7"/>
    <w:rsid w:val="008D05F9"/>
    <w:rsid w:val="008D073D"/>
    <w:rsid w:val="008D49E8"/>
    <w:rsid w:val="008D51C6"/>
    <w:rsid w:val="008D6007"/>
    <w:rsid w:val="008D62AB"/>
    <w:rsid w:val="008D6955"/>
    <w:rsid w:val="008E029C"/>
    <w:rsid w:val="008E0AEF"/>
    <w:rsid w:val="008E133C"/>
    <w:rsid w:val="008E3880"/>
    <w:rsid w:val="008E435C"/>
    <w:rsid w:val="008E4879"/>
    <w:rsid w:val="008E48A0"/>
    <w:rsid w:val="008E6220"/>
    <w:rsid w:val="008F295B"/>
    <w:rsid w:val="008F655A"/>
    <w:rsid w:val="008F6FED"/>
    <w:rsid w:val="008F7D53"/>
    <w:rsid w:val="00901A57"/>
    <w:rsid w:val="0090402B"/>
    <w:rsid w:val="00904774"/>
    <w:rsid w:val="00906F88"/>
    <w:rsid w:val="0090708E"/>
    <w:rsid w:val="00910353"/>
    <w:rsid w:val="009103DA"/>
    <w:rsid w:val="009108DF"/>
    <w:rsid w:val="0091166A"/>
    <w:rsid w:val="00911F82"/>
    <w:rsid w:val="009134E0"/>
    <w:rsid w:val="009137D4"/>
    <w:rsid w:val="009156F7"/>
    <w:rsid w:val="009164B5"/>
    <w:rsid w:val="00916666"/>
    <w:rsid w:val="009209A2"/>
    <w:rsid w:val="00922102"/>
    <w:rsid w:val="009226AE"/>
    <w:rsid w:val="00922F1B"/>
    <w:rsid w:val="00923AD3"/>
    <w:rsid w:val="00926407"/>
    <w:rsid w:val="009323B3"/>
    <w:rsid w:val="00932A63"/>
    <w:rsid w:val="009374B5"/>
    <w:rsid w:val="00937AD1"/>
    <w:rsid w:val="00937F7C"/>
    <w:rsid w:val="00940873"/>
    <w:rsid w:val="00940AFD"/>
    <w:rsid w:val="00943D17"/>
    <w:rsid w:val="00944711"/>
    <w:rsid w:val="00945285"/>
    <w:rsid w:val="00946CC6"/>
    <w:rsid w:val="00947E1D"/>
    <w:rsid w:val="00950C82"/>
    <w:rsid w:val="009567A0"/>
    <w:rsid w:val="0095755B"/>
    <w:rsid w:val="00957814"/>
    <w:rsid w:val="00960460"/>
    <w:rsid w:val="009604D8"/>
    <w:rsid w:val="00962A20"/>
    <w:rsid w:val="00963AD3"/>
    <w:rsid w:val="009646FA"/>
    <w:rsid w:val="00965478"/>
    <w:rsid w:val="009657BB"/>
    <w:rsid w:val="00970B8B"/>
    <w:rsid w:val="009731BA"/>
    <w:rsid w:val="00973AE7"/>
    <w:rsid w:val="00973F90"/>
    <w:rsid w:val="0097448C"/>
    <w:rsid w:val="009802C3"/>
    <w:rsid w:val="00980438"/>
    <w:rsid w:val="009806DC"/>
    <w:rsid w:val="00983229"/>
    <w:rsid w:val="00983EC5"/>
    <w:rsid w:val="00983F30"/>
    <w:rsid w:val="00985E2D"/>
    <w:rsid w:val="00986F7A"/>
    <w:rsid w:val="00990ECF"/>
    <w:rsid w:val="009918C9"/>
    <w:rsid w:val="00991975"/>
    <w:rsid w:val="0099434C"/>
    <w:rsid w:val="009948B8"/>
    <w:rsid w:val="009970A2"/>
    <w:rsid w:val="009A1023"/>
    <w:rsid w:val="009A2805"/>
    <w:rsid w:val="009A32C8"/>
    <w:rsid w:val="009A33A5"/>
    <w:rsid w:val="009A38B5"/>
    <w:rsid w:val="009B2472"/>
    <w:rsid w:val="009B2496"/>
    <w:rsid w:val="009B4A7A"/>
    <w:rsid w:val="009B69C6"/>
    <w:rsid w:val="009B6B35"/>
    <w:rsid w:val="009C1607"/>
    <w:rsid w:val="009C1788"/>
    <w:rsid w:val="009C3113"/>
    <w:rsid w:val="009C31B1"/>
    <w:rsid w:val="009C3AAD"/>
    <w:rsid w:val="009C3E57"/>
    <w:rsid w:val="009C42AD"/>
    <w:rsid w:val="009C5944"/>
    <w:rsid w:val="009C78F0"/>
    <w:rsid w:val="009C7960"/>
    <w:rsid w:val="009D0491"/>
    <w:rsid w:val="009D049A"/>
    <w:rsid w:val="009D2661"/>
    <w:rsid w:val="009D47E3"/>
    <w:rsid w:val="009E12A2"/>
    <w:rsid w:val="009E171F"/>
    <w:rsid w:val="009E1F12"/>
    <w:rsid w:val="009E23B9"/>
    <w:rsid w:val="009E56BF"/>
    <w:rsid w:val="009E5B27"/>
    <w:rsid w:val="009E705A"/>
    <w:rsid w:val="009E7089"/>
    <w:rsid w:val="009F0360"/>
    <w:rsid w:val="009F05A0"/>
    <w:rsid w:val="009F09B0"/>
    <w:rsid w:val="009F195E"/>
    <w:rsid w:val="009F6132"/>
    <w:rsid w:val="009F65E3"/>
    <w:rsid w:val="00A0017C"/>
    <w:rsid w:val="00A00238"/>
    <w:rsid w:val="00A04FB8"/>
    <w:rsid w:val="00A04FCA"/>
    <w:rsid w:val="00A05A7D"/>
    <w:rsid w:val="00A1317E"/>
    <w:rsid w:val="00A136FA"/>
    <w:rsid w:val="00A137BF"/>
    <w:rsid w:val="00A14E56"/>
    <w:rsid w:val="00A1506C"/>
    <w:rsid w:val="00A16B57"/>
    <w:rsid w:val="00A176A5"/>
    <w:rsid w:val="00A17DC1"/>
    <w:rsid w:val="00A21847"/>
    <w:rsid w:val="00A21CC5"/>
    <w:rsid w:val="00A22035"/>
    <w:rsid w:val="00A22F12"/>
    <w:rsid w:val="00A24A32"/>
    <w:rsid w:val="00A24C01"/>
    <w:rsid w:val="00A2512B"/>
    <w:rsid w:val="00A261C8"/>
    <w:rsid w:val="00A267DC"/>
    <w:rsid w:val="00A26D9D"/>
    <w:rsid w:val="00A304F0"/>
    <w:rsid w:val="00A335C1"/>
    <w:rsid w:val="00A3449D"/>
    <w:rsid w:val="00A3487F"/>
    <w:rsid w:val="00A349F0"/>
    <w:rsid w:val="00A34F0F"/>
    <w:rsid w:val="00A357E9"/>
    <w:rsid w:val="00A40153"/>
    <w:rsid w:val="00A42D5F"/>
    <w:rsid w:val="00A439D5"/>
    <w:rsid w:val="00A43D4F"/>
    <w:rsid w:val="00A4416B"/>
    <w:rsid w:val="00A468D3"/>
    <w:rsid w:val="00A50231"/>
    <w:rsid w:val="00A50342"/>
    <w:rsid w:val="00A52456"/>
    <w:rsid w:val="00A55E97"/>
    <w:rsid w:val="00A56D92"/>
    <w:rsid w:val="00A56E87"/>
    <w:rsid w:val="00A604A8"/>
    <w:rsid w:val="00A62125"/>
    <w:rsid w:val="00A626F2"/>
    <w:rsid w:val="00A64197"/>
    <w:rsid w:val="00A641DC"/>
    <w:rsid w:val="00A65442"/>
    <w:rsid w:val="00A66136"/>
    <w:rsid w:val="00A668B7"/>
    <w:rsid w:val="00A702DE"/>
    <w:rsid w:val="00A73B4E"/>
    <w:rsid w:val="00A73E1B"/>
    <w:rsid w:val="00A7414B"/>
    <w:rsid w:val="00A745E2"/>
    <w:rsid w:val="00A804E0"/>
    <w:rsid w:val="00A80B1B"/>
    <w:rsid w:val="00A81E0B"/>
    <w:rsid w:val="00A82382"/>
    <w:rsid w:val="00A84752"/>
    <w:rsid w:val="00A84DF7"/>
    <w:rsid w:val="00A85050"/>
    <w:rsid w:val="00A8786A"/>
    <w:rsid w:val="00A87B97"/>
    <w:rsid w:val="00A93939"/>
    <w:rsid w:val="00A94445"/>
    <w:rsid w:val="00A95214"/>
    <w:rsid w:val="00A97C60"/>
    <w:rsid w:val="00AA29D3"/>
    <w:rsid w:val="00AA44FA"/>
    <w:rsid w:val="00AA5738"/>
    <w:rsid w:val="00AA574C"/>
    <w:rsid w:val="00AA58D8"/>
    <w:rsid w:val="00AB33F1"/>
    <w:rsid w:val="00AB3F56"/>
    <w:rsid w:val="00AB4A4D"/>
    <w:rsid w:val="00AC3078"/>
    <w:rsid w:val="00AC37E9"/>
    <w:rsid w:val="00AC398A"/>
    <w:rsid w:val="00AD006A"/>
    <w:rsid w:val="00AD1210"/>
    <w:rsid w:val="00AD12A6"/>
    <w:rsid w:val="00AD2B1F"/>
    <w:rsid w:val="00AD31A5"/>
    <w:rsid w:val="00AD3B5F"/>
    <w:rsid w:val="00AD3BBD"/>
    <w:rsid w:val="00AD5630"/>
    <w:rsid w:val="00AD5FBF"/>
    <w:rsid w:val="00AD6E08"/>
    <w:rsid w:val="00AD71CC"/>
    <w:rsid w:val="00AE0AC1"/>
    <w:rsid w:val="00AE1449"/>
    <w:rsid w:val="00AE2C09"/>
    <w:rsid w:val="00AE41C6"/>
    <w:rsid w:val="00AE5211"/>
    <w:rsid w:val="00AE6338"/>
    <w:rsid w:val="00AE6F7E"/>
    <w:rsid w:val="00AF01E0"/>
    <w:rsid w:val="00AF09CA"/>
    <w:rsid w:val="00AF1752"/>
    <w:rsid w:val="00AF2AFB"/>
    <w:rsid w:val="00AF674D"/>
    <w:rsid w:val="00AF6A85"/>
    <w:rsid w:val="00AF7D69"/>
    <w:rsid w:val="00B004FA"/>
    <w:rsid w:val="00B032BA"/>
    <w:rsid w:val="00B04D5A"/>
    <w:rsid w:val="00B07F8A"/>
    <w:rsid w:val="00B12D65"/>
    <w:rsid w:val="00B13294"/>
    <w:rsid w:val="00B233CC"/>
    <w:rsid w:val="00B244B1"/>
    <w:rsid w:val="00B247C2"/>
    <w:rsid w:val="00B26583"/>
    <w:rsid w:val="00B26B5F"/>
    <w:rsid w:val="00B26C0B"/>
    <w:rsid w:val="00B27E1F"/>
    <w:rsid w:val="00B30A63"/>
    <w:rsid w:val="00B32E51"/>
    <w:rsid w:val="00B33279"/>
    <w:rsid w:val="00B36224"/>
    <w:rsid w:val="00B3695D"/>
    <w:rsid w:val="00B36A8B"/>
    <w:rsid w:val="00B40053"/>
    <w:rsid w:val="00B400F6"/>
    <w:rsid w:val="00B41B5E"/>
    <w:rsid w:val="00B42B1B"/>
    <w:rsid w:val="00B433AB"/>
    <w:rsid w:val="00B4464A"/>
    <w:rsid w:val="00B44EE1"/>
    <w:rsid w:val="00B45217"/>
    <w:rsid w:val="00B506C8"/>
    <w:rsid w:val="00B509EF"/>
    <w:rsid w:val="00B5136F"/>
    <w:rsid w:val="00B51C06"/>
    <w:rsid w:val="00B51D4D"/>
    <w:rsid w:val="00B51E83"/>
    <w:rsid w:val="00B52BD7"/>
    <w:rsid w:val="00B53E5C"/>
    <w:rsid w:val="00B54DCC"/>
    <w:rsid w:val="00B55F97"/>
    <w:rsid w:val="00B573E1"/>
    <w:rsid w:val="00B66A8A"/>
    <w:rsid w:val="00B71535"/>
    <w:rsid w:val="00B74448"/>
    <w:rsid w:val="00B7556D"/>
    <w:rsid w:val="00B778D4"/>
    <w:rsid w:val="00B77F38"/>
    <w:rsid w:val="00B80B71"/>
    <w:rsid w:val="00B80EC8"/>
    <w:rsid w:val="00B836D0"/>
    <w:rsid w:val="00B850BF"/>
    <w:rsid w:val="00B8686D"/>
    <w:rsid w:val="00B9113A"/>
    <w:rsid w:val="00B912A4"/>
    <w:rsid w:val="00B919FC"/>
    <w:rsid w:val="00B92546"/>
    <w:rsid w:val="00B92C50"/>
    <w:rsid w:val="00B9379E"/>
    <w:rsid w:val="00B9584C"/>
    <w:rsid w:val="00B96F0F"/>
    <w:rsid w:val="00B97D8B"/>
    <w:rsid w:val="00BA2481"/>
    <w:rsid w:val="00BA253B"/>
    <w:rsid w:val="00BA2B87"/>
    <w:rsid w:val="00BA3D07"/>
    <w:rsid w:val="00BA468A"/>
    <w:rsid w:val="00BA51E3"/>
    <w:rsid w:val="00BA604C"/>
    <w:rsid w:val="00BB2375"/>
    <w:rsid w:val="00BB3B84"/>
    <w:rsid w:val="00BB5E6D"/>
    <w:rsid w:val="00BC18F0"/>
    <w:rsid w:val="00BC24D4"/>
    <w:rsid w:val="00BC4AC0"/>
    <w:rsid w:val="00BC7A23"/>
    <w:rsid w:val="00BD168D"/>
    <w:rsid w:val="00BD1F9F"/>
    <w:rsid w:val="00BD2620"/>
    <w:rsid w:val="00BD2B39"/>
    <w:rsid w:val="00BD52F4"/>
    <w:rsid w:val="00BD6107"/>
    <w:rsid w:val="00BD65A4"/>
    <w:rsid w:val="00BD6821"/>
    <w:rsid w:val="00BD7188"/>
    <w:rsid w:val="00BD7B77"/>
    <w:rsid w:val="00BE12C4"/>
    <w:rsid w:val="00BE2511"/>
    <w:rsid w:val="00BE32C5"/>
    <w:rsid w:val="00BF0EB0"/>
    <w:rsid w:val="00BF6302"/>
    <w:rsid w:val="00BF750B"/>
    <w:rsid w:val="00BF7DBC"/>
    <w:rsid w:val="00C00608"/>
    <w:rsid w:val="00C018E5"/>
    <w:rsid w:val="00C04178"/>
    <w:rsid w:val="00C06F70"/>
    <w:rsid w:val="00C0789E"/>
    <w:rsid w:val="00C07AC9"/>
    <w:rsid w:val="00C104C3"/>
    <w:rsid w:val="00C111D2"/>
    <w:rsid w:val="00C12BAD"/>
    <w:rsid w:val="00C13BDC"/>
    <w:rsid w:val="00C13C8F"/>
    <w:rsid w:val="00C14822"/>
    <w:rsid w:val="00C210CB"/>
    <w:rsid w:val="00C21FA2"/>
    <w:rsid w:val="00C23663"/>
    <w:rsid w:val="00C236D7"/>
    <w:rsid w:val="00C23E8C"/>
    <w:rsid w:val="00C244E3"/>
    <w:rsid w:val="00C24824"/>
    <w:rsid w:val="00C249E1"/>
    <w:rsid w:val="00C25C3F"/>
    <w:rsid w:val="00C279B0"/>
    <w:rsid w:val="00C27FA5"/>
    <w:rsid w:val="00C30BD7"/>
    <w:rsid w:val="00C3311B"/>
    <w:rsid w:val="00C33627"/>
    <w:rsid w:val="00C35418"/>
    <w:rsid w:val="00C37CDA"/>
    <w:rsid w:val="00C42263"/>
    <w:rsid w:val="00C4308E"/>
    <w:rsid w:val="00C434B8"/>
    <w:rsid w:val="00C437C4"/>
    <w:rsid w:val="00C456F8"/>
    <w:rsid w:val="00C45C9B"/>
    <w:rsid w:val="00C46929"/>
    <w:rsid w:val="00C4795A"/>
    <w:rsid w:val="00C536F5"/>
    <w:rsid w:val="00C53B79"/>
    <w:rsid w:val="00C5488B"/>
    <w:rsid w:val="00C55287"/>
    <w:rsid w:val="00C556E7"/>
    <w:rsid w:val="00C60385"/>
    <w:rsid w:val="00C6220D"/>
    <w:rsid w:val="00C63C66"/>
    <w:rsid w:val="00C64292"/>
    <w:rsid w:val="00C645D2"/>
    <w:rsid w:val="00C673CA"/>
    <w:rsid w:val="00C72E1B"/>
    <w:rsid w:val="00C75694"/>
    <w:rsid w:val="00C80D64"/>
    <w:rsid w:val="00C81B1B"/>
    <w:rsid w:val="00C81D0C"/>
    <w:rsid w:val="00C81E38"/>
    <w:rsid w:val="00C82DCF"/>
    <w:rsid w:val="00C8375A"/>
    <w:rsid w:val="00C8593F"/>
    <w:rsid w:val="00C85942"/>
    <w:rsid w:val="00C878DA"/>
    <w:rsid w:val="00C93880"/>
    <w:rsid w:val="00C94525"/>
    <w:rsid w:val="00C9647B"/>
    <w:rsid w:val="00C970BD"/>
    <w:rsid w:val="00C97B04"/>
    <w:rsid w:val="00C97EC6"/>
    <w:rsid w:val="00CA0F3B"/>
    <w:rsid w:val="00CA4C68"/>
    <w:rsid w:val="00CA57C7"/>
    <w:rsid w:val="00CA5F25"/>
    <w:rsid w:val="00CA6B7A"/>
    <w:rsid w:val="00CA7238"/>
    <w:rsid w:val="00CA7946"/>
    <w:rsid w:val="00CA7C05"/>
    <w:rsid w:val="00CB1E97"/>
    <w:rsid w:val="00CB624A"/>
    <w:rsid w:val="00CB62F2"/>
    <w:rsid w:val="00CB7230"/>
    <w:rsid w:val="00CC0462"/>
    <w:rsid w:val="00CC0749"/>
    <w:rsid w:val="00CC0E06"/>
    <w:rsid w:val="00CC25A2"/>
    <w:rsid w:val="00CC29C7"/>
    <w:rsid w:val="00CC370F"/>
    <w:rsid w:val="00CC4501"/>
    <w:rsid w:val="00CC54D6"/>
    <w:rsid w:val="00CC5D1E"/>
    <w:rsid w:val="00CD06A4"/>
    <w:rsid w:val="00CD36BD"/>
    <w:rsid w:val="00CD45FC"/>
    <w:rsid w:val="00CD4DC5"/>
    <w:rsid w:val="00CD5BC4"/>
    <w:rsid w:val="00CD645B"/>
    <w:rsid w:val="00CD75F5"/>
    <w:rsid w:val="00CE028F"/>
    <w:rsid w:val="00CE0D85"/>
    <w:rsid w:val="00CE55F1"/>
    <w:rsid w:val="00CE5D18"/>
    <w:rsid w:val="00CE60E1"/>
    <w:rsid w:val="00CE63C2"/>
    <w:rsid w:val="00CE6784"/>
    <w:rsid w:val="00CF2DD2"/>
    <w:rsid w:val="00CF30A2"/>
    <w:rsid w:val="00CF312E"/>
    <w:rsid w:val="00CF385F"/>
    <w:rsid w:val="00CF5812"/>
    <w:rsid w:val="00CF7515"/>
    <w:rsid w:val="00D0256E"/>
    <w:rsid w:val="00D02D80"/>
    <w:rsid w:val="00D03655"/>
    <w:rsid w:val="00D03CA3"/>
    <w:rsid w:val="00D049BB"/>
    <w:rsid w:val="00D04A92"/>
    <w:rsid w:val="00D04EE4"/>
    <w:rsid w:val="00D066E2"/>
    <w:rsid w:val="00D0791C"/>
    <w:rsid w:val="00D10E8C"/>
    <w:rsid w:val="00D12A18"/>
    <w:rsid w:val="00D13EB3"/>
    <w:rsid w:val="00D16C61"/>
    <w:rsid w:val="00D17472"/>
    <w:rsid w:val="00D17EBB"/>
    <w:rsid w:val="00D21F04"/>
    <w:rsid w:val="00D252FB"/>
    <w:rsid w:val="00D25AE8"/>
    <w:rsid w:val="00D27238"/>
    <w:rsid w:val="00D27771"/>
    <w:rsid w:val="00D34692"/>
    <w:rsid w:val="00D353C8"/>
    <w:rsid w:val="00D36359"/>
    <w:rsid w:val="00D37EC8"/>
    <w:rsid w:val="00D40B61"/>
    <w:rsid w:val="00D41AED"/>
    <w:rsid w:val="00D420AB"/>
    <w:rsid w:val="00D4525F"/>
    <w:rsid w:val="00D4542A"/>
    <w:rsid w:val="00D4647B"/>
    <w:rsid w:val="00D47292"/>
    <w:rsid w:val="00D5081F"/>
    <w:rsid w:val="00D525DA"/>
    <w:rsid w:val="00D527C9"/>
    <w:rsid w:val="00D52D01"/>
    <w:rsid w:val="00D53693"/>
    <w:rsid w:val="00D53741"/>
    <w:rsid w:val="00D53B96"/>
    <w:rsid w:val="00D60537"/>
    <w:rsid w:val="00D6102F"/>
    <w:rsid w:val="00D62C2C"/>
    <w:rsid w:val="00D653C7"/>
    <w:rsid w:val="00D66BF6"/>
    <w:rsid w:val="00D67C7B"/>
    <w:rsid w:val="00D70CA6"/>
    <w:rsid w:val="00D71064"/>
    <w:rsid w:val="00D76271"/>
    <w:rsid w:val="00D80133"/>
    <w:rsid w:val="00D8085C"/>
    <w:rsid w:val="00D80BD6"/>
    <w:rsid w:val="00D80BF1"/>
    <w:rsid w:val="00D82E93"/>
    <w:rsid w:val="00D835C0"/>
    <w:rsid w:val="00D8363C"/>
    <w:rsid w:val="00D84B47"/>
    <w:rsid w:val="00D85425"/>
    <w:rsid w:val="00D86AE8"/>
    <w:rsid w:val="00D9237D"/>
    <w:rsid w:val="00D936A9"/>
    <w:rsid w:val="00D943EB"/>
    <w:rsid w:val="00D94A66"/>
    <w:rsid w:val="00D94D17"/>
    <w:rsid w:val="00D96379"/>
    <w:rsid w:val="00D969D6"/>
    <w:rsid w:val="00D97995"/>
    <w:rsid w:val="00DA10B5"/>
    <w:rsid w:val="00DA2D75"/>
    <w:rsid w:val="00DA41A8"/>
    <w:rsid w:val="00DA4C6B"/>
    <w:rsid w:val="00DA5AC1"/>
    <w:rsid w:val="00DA6EE7"/>
    <w:rsid w:val="00DA796D"/>
    <w:rsid w:val="00DA7EE2"/>
    <w:rsid w:val="00DB215B"/>
    <w:rsid w:val="00DB3E56"/>
    <w:rsid w:val="00DB4209"/>
    <w:rsid w:val="00DB46CC"/>
    <w:rsid w:val="00DB6367"/>
    <w:rsid w:val="00DB6721"/>
    <w:rsid w:val="00DB73B8"/>
    <w:rsid w:val="00DB77BD"/>
    <w:rsid w:val="00DC1587"/>
    <w:rsid w:val="00DC3203"/>
    <w:rsid w:val="00DC52EA"/>
    <w:rsid w:val="00DC611A"/>
    <w:rsid w:val="00DC6779"/>
    <w:rsid w:val="00DC6BAA"/>
    <w:rsid w:val="00DC6F80"/>
    <w:rsid w:val="00DC6F96"/>
    <w:rsid w:val="00DD179C"/>
    <w:rsid w:val="00DD634A"/>
    <w:rsid w:val="00DE2BDE"/>
    <w:rsid w:val="00DE4A6A"/>
    <w:rsid w:val="00DE59EA"/>
    <w:rsid w:val="00DE6C0E"/>
    <w:rsid w:val="00DE6FDB"/>
    <w:rsid w:val="00DF21FB"/>
    <w:rsid w:val="00DF4930"/>
    <w:rsid w:val="00DF5029"/>
    <w:rsid w:val="00DF5DC4"/>
    <w:rsid w:val="00DF666E"/>
    <w:rsid w:val="00DF7A02"/>
    <w:rsid w:val="00E015D0"/>
    <w:rsid w:val="00E0231D"/>
    <w:rsid w:val="00E028D7"/>
    <w:rsid w:val="00E04C9C"/>
    <w:rsid w:val="00E05559"/>
    <w:rsid w:val="00E07D00"/>
    <w:rsid w:val="00E10001"/>
    <w:rsid w:val="00E101CC"/>
    <w:rsid w:val="00E103D2"/>
    <w:rsid w:val="00E1051C"/>
    <w:rsid w:val="00E10D0F"/>
    <w:rsid w:val="00E166F6"/>
    <w:rsid w:val="00E17A0D"/>
    <w:rsid w:val="00E17F7B"/>
    <w:rsid w:val="00E23963"/>
    <w:rsid w:val="00E24488"/>
    <w:rsid w:val="00E2640D"/>
    <w:rsid w:val="00E2660F"/>
    <w:rsid w:val="00E26652"/>
    <w:rsid w:val="00E31F3D"/>
    <w:rsid w:val="00E322E5"/>
    <w:rsid w:val="00E32FF6"/>
    <w:rsid w:val="00E33D68"/>
    <w:rsid w:val="00E33DAB"/>
    <w:rsid w:val="00E33E4E"/>
    <w:rsid w:val="00E34D78"/>
    <w:rsid w:val="00E354E8"/>
    <w:rsid w:val="00E359F4"/>
    <w:rsid w:val="00E35F3A"/>
    <w:rsid w:val="00E370DD"/>
    <w:rsid w:val="00E4021D"/>
    <w:rsid w:val="00E41A35"/>
    <w:rsid w:val="00E429DC"/>
    <w:rsid w:val="00E43BED"/>
    <w:rsid w:val="00E43EE4"/>
    <w:rsid w:val="00E441D6"/>
    <w:rsid w:val="00E456B1"/>
    <w:rsid w:val="00E508D1"/>
    <w:rsid w:val="00E53C55"/>
    <w:rsid w:val="00E54481"/>
    <w:rsid w:val="00E54871"/>
    <w:rsid w:val="00E560D4"/>
    <w:rsid w:val="00E56993"/>
    <w:rsid w:val="00E56C34"/>
    <w:rsid w:val="00E6236A"/>
    <w:rsid w:val="00E633BC"/>
    <w:rsid w:val="00E63570"/>
    <w:rsid w:val="00E6417D"/>
    <w:rsid w:val="00E662B6"/>
    <w:rsid w:val="00E70EC4"/>
    <w:rsid w:val="00E72DC9"/>
    <w:rsid w:val="00E775ED"/>
    <w:rsid w:val="00E80AA8"/>
    <w:rsid w:val="00E83061"/>
    <w:rsid w:val="00E84015"/>
    <w:rsid w:val="00E84344"/>
    <w:rsid w:val="00E90462"/>
    <w:rsid w:val="00E9082A"/>
    <w:rsid w:val="00E9126B"/>
    <w:rsid w:val="00E91B50"/>
    <w:rsid w:val="00E9434D"/>
    <w:rsid w:val="00E94407"/>
    <w:rsid w:val="00E961EF"/>
    <w:rsid w:val="00E97CCA"/>
    <w:rsid w:val="00EA0A6A"/>
    <w:rsid w:val="00EA2BEE"/>
    <w:rsid w:val="00EA51E4"/>
    <w:rsid w:val="00EA6770"/>
    <w:rsid w:val="00EB1018"/>
    <w:rsid w:val="00EB1D67"/>
    <w:rsid w:val="00EB23EF"/>
    <w:rsid w:val="00EB281C"/>
    <w:rsid w:val="00EB2A8C"/>
    <w:rsid w:val="00EB51D9"/>
    <w:rsid w:val="00EB5207"/>
    <w:rsid w:val="00EB56E6"/>
    <w:rsid w:val="00EB7694"/>
    <w:rsid w:val="00EB7E1B"/>
    <w:rsid w:val="00EC0235"/>
    <w:rsid w:val="00EC02DD"/>
    <w:rsid w:val="00EC1F22"/>
    <w:rsid w:val="00EC28EF"/>
    <w:rsid w:val="00EC30D5"/>
    <w:rsid w:val="00EC3F8A"/>
    <w:rsid w:val="00EC414C"/>
    <w:rsid w:val="00EC6AF3"/>
    <w:rsid w:val="00ED1A53"/>
    <w:rsid w:val="00ED3C8C"/>
    <w:rsid w:val="00ED4103"/>
    <w:rsid w:val="00ED4E50"/>
    <w:rsid w:val="00ED6AE5"/>
    <w:rsid w:val="00ED73F4"/>
    <w:rsid w:val="00ED7E41"/>
    <w:rsid w:val="00ED7F33"/>
    <w:rsid w:val="00EE0EAA"/>
    <w:rsid w:val="00EE1976"/>
    <w:rsid w:val="00EE1AE9"/>
    <w:rsid w:val="00EE2F20"/>
    <w:rsid w:val="00EE3F8C"/>
    <w:rsid w:val="00EE78B8"/>
    <w:rsid w:val="00EF2F3A"/>
    <w:rsid w:val="00EF62B5"/>
    <w:rsid w:val="00EF62F2"/>
    <w:rsid w:val="00F00DBF"/>
    <w:rsid w:val="00F01F2C"/>
    <w:rsid w:val="00F022CE"/>
    <w:rsid w:val="00F03B96"/>
    <w:rsid w:val="00F046E8"/>
    <w:rsid w:val="00F04E11"/>
    <w:rsid w:val="00F06916"/>
    <w:rsid w:val="00F11BA2"/>
    <w:rsid w:val="00F12333"/>
    <w:rsid w:val="00F1298D"/>
    <w:rsid w:val="00F13C8A"/>
    <w:rsid w:val="00F16FA4"/>
    <w:rsid w:val="00F21256"/>
    <w:rsid w:val="00F21A6F"/>
    <w:rsid w:val="00F232B2"/>
    <w:rsid w:val="00F23F77"/>
    <w:rsid w:val="00F24907"/>
    <w:rsid w:val="00F30CFB"/>
    <w:rsid w:val="00F32922"/>
    <w:rsid w:val="00F33C99"/>
    <w:rsid w:val="00F367FC"/>
    <w:rsid w:val="00F37E3E"/>
    <w:rsid w:val="00F43662"/>
    <w:rsid w:val="00F464AC"/>
    <w:rsid w:val="00F46515"/>
    <w:rsid w:val="00F5261F"/>
    <w:rsid w:val="00F5317D"/>
    <w:rsid w:val="00F5335C"/>
    <w:rsid w:val="00F53BA9"/>
    <w:rsid w:val="00F53E37"/>
    <w:rsid w:val="00F55BC6"/>
    <w:rsid w:val="00F60E17"/>
    <w:rsid w:val="00F614B6"/>
    <w:rsid w:val="00F624FB"/>
    <w:rsid w:val="00F63CE6"/>
    <w:rsid w:val="00F64A82"/>
    <w:rsid w:val="00F64E3D"/>
    <w:rsid w:val="00F65DF7"/>
    <w:rsid w:val="00F669CD"/>
    <w:rsid w:val="00F66DB2"/>
    <w:rsid w:val="00F67194"/>
    <w:rsid w:val="00F73879"/>
    <w:rsid w:val="00F74161"/>
    <w:rsid w:val="00F743BD"/>
    <w:rsid w:val="00F75647"/>
    <w:rsid w:val="00F7590D"/>
    <w:rsid w:val="00F75960"/>
    <w:rsid w:val="00F76682"/>
    <w:rsid w:val="00F77566"/>
    <w:rsid w:val="00F77BFA"/>
    <w:rsid w:val="00F815D4"/>
    <w:rsid w:val="00F8416F"/>
    <w:rsid w:val="00F84A96"/>
    <w:rsid w:val="00F86706"/>
    <w:rsid w:val="00F87918"/>
    <w:rsid w:val="00F90B59"/>
    <w:rsid w:val="00F90C8F"/>
    <w:rsid w:val="00F9198B"/>
    <w:rsid w:val="00F927AF"/>
    <w:rsid w:val="00F93E0E"/>
    <w:rsid w:val="00F95141"/>
    <w:rsid w:val="00F95583"/>
    <w:rsid w:val="00F973A0"/>
    <w:rsid w:val="00F97F8A"/>
    <w:rsid w:val="00FA01E0"/>
    <w:rsid w:val="00FA05D9"/>
    <w:rsid w:val="00FA0C47"/>
    <w:rsid w:val="00FA3709"/>
    <w:rsid w:val="00FA469E"/>
    <w:rsid w:val="00FA4D0F"/>
    <w:rsid w:val="00FA5B12"/>
    <w:rsid w:val="00FA5FC2"/>
    <w:rsid w:val="00FA6E88"/>
    <w:rsid w:val="00FB064D"/>
    <w:rsid w:val="00FB0939"/>
    <w:rsid w:val="00FB2FCB"/>
    <w:rsid w:val="00FB3FC9"/>
    <w:rsid w:val="00FB5636"/>
    <w:rsid w:val="00FB585F"/>
    <w:rsid w:val="00FB59CE"/>
    <w:rsid w:val="00FB6C0D"/>
    <w:rsid w:val="00FC07FE"/>
    <w:rsid w:val="00FC3FF9"/>
    <w:rsid w:val="00FC4271"/>
    <w:rsid w:val="00FC762A"/>
    <w:rsid w:val="00FD138B"/>
    <w:rsid w:val="00FD5502"/>
    <w:rsid w:val="00FD598E"/>
    <w:rsid w:val="00FE051B"/>
    <w:rsid w:val="00FE05F4"/>
    <w:rsid w:val="00FE2227"/>
    <w:rsid w:val="00FE3901"/>
    <w:rsid w:val="00FE3E19"/>
    <w:rsid w:val="00FE4C66"/>
    <w:rsid w:val="00FE7AA1"/>
    <w:rsid w:val="00FF0B76"/>
    <w:rsid w:val="00FF18B6"/>
    <w:rsid w:val="00FF2C4B"/>
    <w:rsid w:val="00FF39FF"/>
    <w:rsid w:val="00FF3D02"/>
    <w:rsid w:val="00FF449B"/>
    <w:rsid w:val="00FF5ACB"/>
    <w:rsid w:val="032BA9FB"/>
    <w:rsid w:val="085DFD5C"/>
    <w:rsid w:val="098972A6"/>
    <w:rsid w:val="0A9E17E4"/>
    <w:rsid w:val="0D051433"/>
    <w:rsid w:val="10BED07B"/>
    <w:rsid w:val="117F5CA5"/>
    <w:rsid w:val="1203809F"/>
    <w:rsid w:val="13FE985D"/>
    <w:rsid w:val="14B03977"/>
    <w:rsid w:val="154922D0"/>
    <w:rsid w:val="15D9F51E"/>
    <w:rsid w:val="1ACA29DE"/>
    <w:rsid w:val="1EBB9001"/>
    <w:rsid w:val="232AB511"/>
    <w:rsid w:val="25C3807F"/>
    <w:rsid w:val="29BFB4CA"/>
    <w:rsid w:val="2B0A069F"/>
    <w:rsid w:val="3129FF9E"/>
    <w:rsid w:val="34C61F8E"/>
    <w:rsid w:val="379C3A23"/>
    <w:rsid w:val="3909C2CB"/>
    <w:rsid w:val="3B6C357C"/>
    <w:rsid w:val="3D44533C"/>
    <w:rsid w:val="3E5A859B"/>
    <w:rsid w:val="3EDDDC5A"/>
    <w:rsid w:val="3F3BBAE7"/>
    <w:rsid w:val="40C3B565"/>
    <w:rsid w:val="482F2386"/>
    <w:rsid w:val="4E8D67AF"/>
    <w:rsid w:val="5053872F"/>
    <w:rsid w:val="52804645"/>
    <w:rsid w:val="5360E569"/>
    <w:rsid w:val="5A1EB82C"/>
    <w:rsid w:val="5ADD9263"/>
    <w:rsid w:val="672AC446"/>
    <w:rsid w:val="67433557"/>
    <w:rsid w:val="6BCB63FF"/>
    <w:rsid w:val="6D1FACC8"/>
    <w:rsid w:val="6EA07F20"/>
    <w:rsid w:val="6F328340"/>
    <w:rsid w:val="736787DE"/>
    <w:rsid w:val="7664183A"/>
    <w:rsid w:val="7A8912C7"/>
    <w:rsid w:val="7D67DBBC"/>
    <w:rsid w:val="7D8E00A7"/>
    <w:rsid w:val="7FCCDDD9"/>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F576BF"/>
  <w15:chartTrackingRefBased/>
  <w15:docId w15:val="{581B5D21-2640-4D92-AD8D-1D5FF255C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51B9"/>
  </w:style>
  <w:style w:type="paragraph" w:styleId="Heading1">
    <w:name w:val="heading 1"/>
    <w:basedOn w:val="Normal"/>
    <w:next w:val="Normal"/>
    <w:link w:val="Heading1Char"/>
    <w:uiPriority w:val="9"/>
    <w:qFormat/>
    <w:rsid w:val="000B6D33"/>
    <w:pPr>
      <w:keepNext/>
      <w:keepLines/>
      <w:spacing w:before="240" w:after="0"/>
      <w:outlineLvl w:val="0"/>
    </w:pPr>
    <w:rPr>
      <w:rFonts w:asciiTheme="majorHAnsi" w:eastAsiaTheme="majorEastAsia" w:hAnsiTheme="majorHAnsi" w:cstheme="majorBidi"/>
      <w:color w:val="29401A" w:themeColor="accent1" w:themeShade="BF"/>
      <w:sz w:val="32"/>
      <w:szCs w:val="32"/>
    </w:rPr>
  </w:style>
  <w:style w:type="paragraph" w:styleId="Heading2">
    <w:name w:val="heading 2"/>
    <w:basedOn w:val="Normal"/>
    <w:next w:val="Normal"/>
    <w:link w:val="Heading2Char"/>
    <w:uiPriority w:val="9"/>
    <w:unhideWhenUsed/>
    <w:qFormat/>
    <w:rsid w:val="000B6D33"/>
    <w:pPr>
      <w:keepNext/>
      <w:keepLines/>
      <w:spacing w:before="40" w:after="0"/>
      <w:outlineLvl w:val="1"/>
    </w:pPr>
    <w:rPr>
      <w:rFonts w:asciiTheme="majorHAnsi" w:eastAsiaTheme="majorEastAsia" w:hAnsiTheme="majorHAnsi" w:cstheme="majorBidi"/>
      <w:color w:val="29401A" w:themeColor="accent1" w:themeShade="BF"/>
      <w:sz w:val="26"/>
      <w:szCs w:val="26"/>
    </w:rPr>
  </w:style>
  <w:style w:type="paragraph" w:styleId="Heading3">
    <w:name w:val="heading 3"/>
    <w:basedOn w:val="Normal"/>
    <w:next w:val="Normal"/>
    <w:link w:val="Heading3Char"/>
    <w:uiPriority w:val="9"/>
    <w:unhideWhenUsed/>
    <w:qFormat/>
    <w:rsid w:val="0011499F"/>
    <w:pPr>
      <w:keepNext/>
      <w:keepLines/>
      <w:spacing w:before="40" w:after="0"/>
      <w:outlineLvl w:val="2"/>
    </w:pPr>
    <w:rPr>
      <w:rFonts w:asciiTheme="majorHAnsi" w:eastAsiaTheme="majorEastAsia" w:hAnsiTheme="majorHAnsi" w:cstheme="majorBidi"/>
      <w:color w:val="1B2A11" w:themeColor="accent1" w:themeShade="7F"/>
      <w:sz w:val="24"/>
      <w:szCs w:val="24"/>
    </w:rPr>
  </w:style>
  <w:style w:type="paragraph" w:styleId="Heading4">
    <w:name w:val="heading 4"/>
    <w:basedOn w:val="Normal"/>
    <w:next w:val="Normal"/>
    <w:link w:val="Heading4Char"/>
    <w:uiPriority w:val="9"/>
    <w:unhideWhenUsed/>
    <w:qFormat/>
    <w:rsid w:val="0011499F"/>
    <w:pPr>
      <w:keepNext/>
      <w:keepLines/>
      <w:spacing w:before="40" w:after="0"/>
      <w:outlineLvl w:val="3"/>
    </w:pPr>
    <w:rPr>
      <w:rFonts w:asciiTheme="majorHAnsi" w:eastAsiaTheme="majorEastAsia" w:hAnsiTheme="majorHAnsi" w:cstheme="majorBidi"/>
      <w:i/>
      <w:iCs/>
      <w:color w:val="29401A"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51E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51E3"/>
  </w:style>
  <w:style w:type="paragraph" w:styleId="Footer">
    <w:name w:val="footer"/>
    <w:basedOn w:val="Normal"/>
    <w:link w:val="FooterChar"/>
    <w:uiPriority w:val="99"/>
    <w:unhideWhenUsed/>
    <w:rsid w:val="00BA51E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A51E3"/>
  </w:style>
  <w:style w:type="paragraph" w:styleId="ListParagraph">
    <w:name w:val="List Paragraph"/>
    <w:aliases w:val="Dot pt,F5 List Paragraph,List Paragraph1,List Paragraph11,Bullet 1,Bullet Points,MAIN CONTENT,No Spacing1,List Paragraph Char Char Char,Indicator Text,Numbered Para 1,Medium Grid 1 - Accent 21,Text bullets 1,Colorful List - Accent 11,L"/>
    <w:basedOn w:val="Normal"/>
    <w:link w:val="ListParagraphChar"/>
    <w:uiPriority w:val="34"/>
    <w:qFormat/>
    <w:rsid w:val="00BA51E3"/>
    <w:pPr>
      <w:ind w:left="720"/>
      <w:contextualSpacing/>
    </w:pPr>
  </w:style>
  <w:style w:type="table" w:styleId="TableGrid">
    <w:name w:val="Table Grid"/>
    <w:basedOn w:val="TableNormal"/>
    <w:uiPriority w:val="39"/>
    <w:rsid w:val="00BA51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A51E3"/>
    <w:rPr>
      <w:color w:val="375623" w:themeColor="hyperlink"/>
      <w:u w:val="single"/>
    </w:rPr>
  </w:style>
  <w:style w:type="character" w:styleId="FollowedHyperlink">
    <w:name w:val="FollowedHyperlink"/>
    <w:basedOn w:val="DefaultParagraphFont"/>
    <w:uiPriority w:val="99"/>
    <w:semiHidden/>
    <w:unhideWhenUsed/>
    <w:rsid w:val="005E08AA"/>
    <w:rPr>
      <w:color w:val="954F72" w:themeColor="followedHyperlink"/>
      <w:u w:val="single"/>
    </w:rPr>
  </w:style>
  <w:style w:type="character" w:styleId="UnresolvedMention">
    <w:name w:val="Unresolved Mention"/>
    <w:basedOn w:val="DefaultParagraphFont"/>
    <w:uiPriority w:val="99"/>
    <w:semiHidden/>
    <w:unhideWhenUsed/>
    <w:rsid w:val="006B70CD"/>
    <w:rPr>
      <w:color w:val="605E5C"/>
      <w:shd w:val="clear" w:color="auto" w:fill="E1DFDD"/>
    </w:rPr>
  </w:style>
  <w:style w:type="paragraph" w:styleId="Revision">
    <w:name w:val="Revision"/>
    <w:hidden/>
    <w:uiPriority w:val="99"/>
    <w:semiHidden/>
    <w:rsid w:val="00C12BAD"/>
    <w:pPr>
      <w:spacing w:after="0" w:line="240" w:lineRule="auto"/>
    </w:pPr>
  </w:style>
  <w:style w:type="character" w:styleId="CommentReference">
    <w:name w:val="annotation reference"/>
    <w:basedOn w:val="DefaultParagraphFont"/>
    <w:uiPriority w:val="99"/>
    <w:semiHidden/>
    <w:unhideWhenUsed/>
    <w:rsid w:val="00C12BAD"/>
    <w:rPr>
      <w:sz w:val="16"/>
      <w:szCs w:val="16"/>
    </w:rPr>
  </w:style>
  <w:style w:type="paragraph" w:styleId="CommentText">
    <w:name w:val="annotation text"/>
    <w:basedOn w:val="Normal"/>
    <w:link w:val="CommentTextChar"/>
    <w:uiPriority w:val="99"/>
    <w:unhideWhenUsed/>
    <w:rsid w:val="00C12BAD"/>
    <w:pPr>
      <w:spacing w:line="240" w:lineRule="auto"/>
    </w:pPr>
    <w:rPr>
      <w:sz w:val="20"/>
      <w:szCs w:val="20"/>
    </w:rPr>
  </w:style>
  <w:style w:type="character" w:customStyle="1" w:styleId="CommentTextChar">
    <w:name w:val="Comment Text Char"/>
    <w:basedOn w:val="DefaultParagraphFont"/>
    <w:link w:val="CommentText"/>
    <w:uiPriority w:val="99"/>
    <w:rsid w:val="00C12BAD"/>
    <w:rPr>
      <w:sz w:val="20"/>
      <w:szCs w:val="20"/>
    </w:rPr>
  </w:style>
  <w:style w:type="paragraph" w:styleId="CommentSubject">
    <w:name w:val="annotation subject"/>
    <w:basedOn w:val="CommentText"/>
    <w:next w:val="CommentText"/>
    <w:link w:val="CommentSubjectChar"/>
    <w:uiPriority w:val="99"/>
    <w:semiHidden/>
    <w:unhideWhenUsed/>
    <w:rsid w:val="00C12BAD"/>
    <w:rPr>
      <w:b/>
      <w:bCs/>
    </w:rPr>
  </w:style>
  <w:style w:type="character" w:customStyle="1" w:styleId="CommentSubjectChar">
    <w:name w:val="Comment Subject Char"/>
    <w:basedOn w:val="CommentTextChar"/>
    <w:link w:val="CommentSubject"/>
    <w:uiPriority w:val="99"/>
    <w:semiHidden/>
    <w:rsid w:val="00C12BAD"/>
    <w:rPr>
      <w:b/>
      <w:bCs/>
      <w:sz w:val="20"/>
      <w:szCs w:val="20"/>
    </w:rPr>
  </w:style>
  <w:style w:type="character" w:customStyle="1" w:styleId="cf01">
    <w:name w:val="cf01"/>
    <w:basedOn w:val="DefaultParagraphFont"/>
    <w:rsid w:val="00DC3203"/>
    <w:rPr>
      <w:rFonts w:ascii="Segoe UI" w:hAnsi="Segoe UI" w:cs="Segoe UI" w:hint="default"/>
      <w:sz w:val="18"/>
      <w:szCs w:val="18"/>
    </w:rPr>
  </w:style>
  <w:style w:type="character" w:customStyle="1" w:styleId="ListParagraphChar">
    <w:name w:val="List Paragraph Char"/>
    <w:aliases w:val="Dot pt Char,F5 List Paragraph Char,List Paragraph1 Char,List Paragraph11 Char,Bullet 1 Char,Bullet Points Char,MAIN CONTENT Char,No Spacing1 Char,List Paragraph Char Char Char Char,Indicator Text Char,Numbered Para 1 Char,L Char"/>
    <w:basedOn w:val="DefaultParagraphFont"/>
    <w:link w:val="ListParagraph"/>
    <w:uiPriority w:val="34"/>
    <w:qFormat/>
    <w:locked/>
    <w:rsid w:val="00C4308E"/>
  </w:style>
  <w:style w:type="character" w:customStyle="1" w:styleId="ui-provider">
    <w:name w:val="ui-provider"/>
    <w:basedOn w:val="DefaultParagraphFont"/>
    <w:rsid w:val="00C4308E"/>
  </w:style>
  <w:style w:type="character" w:customStyle="1" w:styleId="Heading2Char">
    <w:name w:val="Heading 2 Char"/>
    <w:basedOn w:val="DefaultParagraphFont"/>
    <w:link w:val="Heading2"/>
    <w:uiPriority w:val="9"/>
    <w:rsid w:val="000B6D33"/>
    <w:rPr>
      <w:rFonts w:asciiTheme="majorHAnsi" w:eastAsiaTheme="majorEastAsia" w:hAnsiTheme="majorHAnsi" w:cstheme="majorBidi"/>
      <w:color w:val="29401A" w:themeColor="accent1" w:themeShade="BF"/>
      <w:sz w:val="26"/>
      <w:szCs w:val="26"/>
    </w:rPr>
  </w:style>
  <w:style w:type="character" w:customStyle="1" w:styleId="Heading1Char">
    <w:name w:val="Heading 1 Char"/>
    <w:basedOn w:val="DefaultParagraphFont"/>
    <w:link w:val="Heading1"/>
    <w:uiPriority w:val="9"/>
    <w:rsid w:val="000B6D33"/>
    <w:rPr>
      <w:rFonts w:asciiTheme="majorHAnsi" w:eastAsiaTheme="majorEastAsia" w:hAnsiTheme="majorHAnsi" w:cstheme="majorBidi"/>
      <w:color w:val="29401A" w:themeColor="accent1" w:themeShade="BF"/>
      <w:sz w:val="32"/>
      <w:szCs w:val="32"/>
    </w:rPr>
  </w:style>
  <w:style w:type="paragraph" w:customStyle="1" w:styleId="Style1">
    <w:name w:val="Style1"/>
    <w:basedOn w:val="ListParagraph"/>
    <w:link w:val="Style1Char"/>
    <w:qFormat/>
    <w:rsid w:val="00D53741"/>
    <w:pPr>
      <w:numPr>
        <w:numId w:val="4"/>
      </w:numPr>
      <w:spacing w:line="256" w:lineRule="auto"/>
    </w:pPr>
    <w:rPr>
      <w:rFonts w:cstheme="minorHAnsi"/>
      <w:bCs/>
    </w:rPr>
  </w:style>
  <w:style w:type="character" w:customStyle="1" w:styleId="Style1Char">
    <w:name w:val="Style1 Char"/>
    <w:basedOn w:val="ListParagraphChar"/>
    <w:link w:val="Style1"/>
    <w:rsid w:val="00D53741"/>
    <w:rPr>
      <w:rFonts w:cstheme="minorHAnsi"/>
      <w:bCs/>
    </w:rPr>
  </w:style>
  <w:style w:type="character" w:customStyle="1" w:styleId="Heading3Char">
    <w:name w:val="Heading 3 Char"/>
    <w:basedOn w:val="DefaultParagraphFont"/>
    <w:link w:val="Heading3"/>
    <w:uiPriority w:val="9"/>
    <w:rsid w:val="0011499F"/>
    <w:rPr>
      <w:rFonts w:asciiTheme="majorHAnsi" w:eastAsiaTheme="majorEastAsia" w:hAnsiTheme="majorHAnsi" w:cstheme="majorBidi"/>
      <w:color w:val="1B2A11" w:themeColor="accent1" w:themeShade="7F"/>
      <w:sz w:val="24"/>
      <w:szCs w:val="24"/>
    </w:rPr>
  </w:style>
  <w:style w:type="character" w:customStyle="1" w:styleId="Heading4Char">
    <w:name w:val="Heading 4 Char"/>
    <w:basedOn w:val="DefaultParagraphFont"/>
    <w:link w:val="Heading4"/>
    <w:uiPriority w:val="9"/>
    <w:rsid w:val="0011499F"/>
    <w:rPr>
      <w:rFonts w:asciiTheme="majorHAnsi" w:eastAsiaTheme="majorEastAsia" w:hAnsiTheme="majorHAnsi" w:cstheme="majorBidi"/>
      <w:i/>
      <w:iCs/>
      <w:color w:val="29401A" w:themeColor="accent1" w:themeShade="BF"/>
    </w:rPr>
  </w:style>
  <w:style w:type="paragraph" w:styleId="NoSpacing">
    <w:name w:val="No Spacing"/>
    <w:uiPriority w:val="1"/>
    <w:qFormat/>
    <w:rsid w:val="0011499F"/>
    <w:pPr>
      <w:spacing w:after="0" w:line="240" w:lineRule="auto"/>
    </w:pPr>
  </w:style>
  <w:style w:type="paragraph" w:styleId="TOCHeading">
    <w:name w:val="TOC Heading"/>
    <w:basedOn w:val="Heading1"/>
    <w:next w:val="Normal"/>
    <w:uiPriority w:val="39"/>
    <w:unhideWhenUsed/>
    <w:qFormat/>
    <w:rsid w:val="008B3996"/>
    <w:pPr>
      <w:outlineLvl w:val="9"/>
    </w:pPr>
    <w:rPr>
      <w:lang w:val="en-US"/>
    </w:rPr>
  </w:style>
  <w:style w:type="paragraph" w:styleId="TOC1">
    <w:name w:val="toc 1"/>
    <w:basedOn w:val="Normal"/>
    <w:next w:val="Normal"/>
    <w:autoRedefine/>
    <w:uiPriority w:val="39"/>
    <w:unhideWhenUsed/>
    <w:rsid w:val="00FC4271"/>
    <w:pPr>
      <w:tabs>
        <w:tab w:val="left" w:pos="660"/>
        <w:tab w:val="right" w:leader="dot" w:pos="9016"/>
      </w:tabs>
      <w:spacing w:after="100"/>
    </w:pPr>
  </w:style>
  <w:style w:type="paragraph" w:styleId="TOC2">
    <w:name w:val="toc 2"/>
    <w:basedOn w:val="Normal"/>
    <w:next w:val="Normal"/>
    <w:autoRedefine/>
    <w:uiPriority w:val="39"/>
    <w:unhideWhenUsed/>
    <w:rsid w:val="008B3996"/>
    <w:pPr>
      <w:spacing w:after="100"/>
      <w:ind w:left="220"/>
    </w:pPr>
  </w:style>
  <w:style w:type="paragraph" w:styleId="TOC3">
    <w:name w:val="toc 3"/>
    <w:basedOn w:val="Normal"/>
    <w:next w:val="Normal"/>
    <w:autoRedefine/>
    <w:uiPriority w:val="39"/>
    <w:unhideWhenUsed/>
    <w:rsid w:val="008B3996"/>
    <w:pPr>
      <w:spacing w:after="100"/>
      <w:ind w:left="440"/>
    </w:pPr>
  </w:style>
  <w:style w:type="paragraph" w:styleId="NormalWeb">
    <w:name w:val="Normal (Web)"/>
    <w:basedOn w:val="Normal"/>
    <w:uiPriority w:val="99"/>
    <w:semiHidden/>
    <w:unhideWhenUsed/>
    <w:rsid w:val="00EB520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EB520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689792">
      <w:bodyDiv w:val="1"/>
      <w:marLeft w:val="0"/>
      <w:marRight w:val="0"/>
      <w:marTop w:val="0"/>
      <w:marBottom w:val="0"/>
      <w:divBdr>
        <w:top w:val="none" w:sz="0" w:space="0" w:color="auto"/>
        <w:left w:val="none" w:sz="0" w:space="0" w:color="auto"/>
        <w:bottom w:val="none" w:sz="0" w:space="0" w:color="auto"/>
        <w:right w:val="none" w:sz="0" w:space="0" w:color="auto"/>
      </w:divBdr>
    </w:div>
    <w:div w:id="292256379">
      <w:bodyDiv w:val="1"/>
      <w:marLeft w:val="0"/>
      <w:marRight w:val="0"/>
      <w:marTop w:val="0"/>
      <w:marBottom w:val="0"/>
      <w:divBdr>
        <w:top w:val="none" w:sz="0" w:space="0" w:color="auto"/>
        <w:left w:val="none" w:sz="0" w:space="0" w:color="auto"/>
        <w:bottom w:val="none" w:sz="0" w:space="0" w:color="auto"/>
        <w:right w:val="none" w:sz="0" w:space="0" w:color="auto"/>
      </w:divBdr>
    </w:div>
    <w:div w:id="433405770">
      <w:bodyDiv w:val="1"/>
      <w:marLeft w:val="0"/>
      <w:marRight w:val="0"/>
      <w:marTop w:val="0"/>
      <w:marBottom w:val="0"/>
      <w:divBdr>
        <w:top w:val="none" w:sz="0" w:space="0" w:color="auto"/>
        <w:left w:val="none" w:sz="0" w:space="0" w:color="auto"/>
        <w:bottom w:val="none" w:sz="0" w:space="0" w:color="auto"/>
        <w:right w:val="none" w:sz="0" w:space="0" w:color="auto"/>
      </w:divBdr>
    </w:div>
    <w:div w:id="470440456">
      <w:bodyDiv w:val="1"/>
      <w:marLeft w:val="0"/>
      <w:marRight w:val="0"/>
      <w:marTop w:val="0"/>
      <w:marBottom w:val="0"/>
      <w:divBdr>
        <w:top w:val="none" w:sz="0" w:space="0" w:color="auto"/>
        <w:left w:val="none" w:sz="0" w:space="0" w:color="auto"/>
        <w:bottom w:val="none" w:sz="0" w:space="0" w:color="auto"/>
        <w:right w:val="none" w:sz="0" w:space="0" w:color="auto"/>
      </w:divBdr>
      <w:divsChild>
        <w:div w:id="760107979">
          <w:marLeft w:val="562"/>
          <w:marRight w:val="0"/>
          <w:marTop w:val="200"/>
          <w:marBottom w:val="0"/>
          <w:divBdr>
            <w:top w:val="none" w:sz="0" w:space="0" w:color="auto"/>
            <w:left w:val="none" w:sz="0" w:space="0" w:color="auto"/>
            <w:bottom w:val="none" w:sz="0" w:space="0" w:color="auto"/>
            <w:right w:val="none" w:sz="0" w:space="0" w:color="auto"/>
          </w:divBdr>
        </w:div>
        <w:div w:id="1392579476">
          <w:marLeft w:val="562"/>
          <w:marRight w:val="0"/>
          <w:marTop w:val="200"/>
          <w:marBottom w:val="0"/>
          <w:divBdr>
            <w:top w:val="none" w:sz="0" w:space="0" w:color="auto"/>
            <w:left w:val="none" w:sz="0" w:space="0" w:color="auto"/>
            <w:bottom w:val="none" w:sz="0" w:space="0" w:color="auto"/>
            <w:right w:val="none" w:sz="0" w:space="0" w:color="auto"/>
          </w:divBdr>
        </w:div>
      </w:divsChild>
    </w:div>
    <w:div w:id="546528871">
      <w:bodyDiv w:val="1"/>
      <w:marLeft w:val="0"/>
      <w:marRight w:val="0"/>
      <w:marTop w:val="0"/>
      <w:marBottom w:val="0"/>
      <w:divBdr>
        <w:top w:val="none" w:sz="0" w:space="0" w:color="auto"/>
        <w:left w:val="none" w:sz="0" w:space="0" w:color="auto"/>
        <w:bottom w:val="none" w:sz="0" w:space="0" w:color="auto"/>
        <w:right w:val="none" w:sz="0" w:space="0" w:color="auto"/>
      </w:divBdr>
    </w:div>
    <w:div w:id="592277488">
      <w:bodyDiv w:val="1"/>
      <w:marLeft w:val="0"/>
      <w:marRight w:val="0"/>
      <w:marTop w:val="0"/>
      <w:marBottom w:val="0"/>
      <w:divBdr>
        <w:top w:val="none" w:sz="0" w:space="0" w:color="auto"/>
        <w:left w:val="none" w:sz="0" w:space="0" w:color="auto"/>
        <w:bottom w:val="none" w:sz="0" w:space="0" w:color="auto"/>
        <w:right w:val="none" w:sz="0" w:space="0" w:color="auto"/>
      </w:divBdr>
    </w:div>
    <w:div w:id="654644878">
      <w:bodyDiv w:val="1"/>
      <w:marLeft w:val="0"/>
      <w:marRight w:val="0"/>
      <w:marTop w:val="0"/>
      <w:marBottom w:val="0"/>
      <w:divBdr>
        <w:top w:val="none" w:sz="0" w:space="0" w:color="auto"/>
        <w:left w:val="none" w:sz="0" w:space="0" w:color="auto"/>
        <w:bottom w:val="none" w:sz="0" w:space="0" w:color="auto"/>
        <w:right w:val="none" w:sz="0" w:space="0" w:color="auto"/>
      </w:divBdr>
    </w:div>
    <w:div w:id="736322637">
      <w:bodyDiv w:val="1"/>
      <w:marLeft w:val="0"/>
      <w:marRight w:val="0"/>
      <w:marTop w:val="0"/>
      <w:marBottom w:val="0"/>
      <w:divBdr>
        <w:top w:val="none" w:sz="0" w:space="0" w:color="auto"/>
        <w:left w:val="none" w:sz="0" w:space="0" w:color="auto"/>
        <w:bottom w:val="none" w:sz="0" w:space="0" w:color="auto"/>
        <w:right w:val="none" w:sz="0" w:space="0" w:color="auto"/>
      </w:divBdr>
    </w:div>
    <w:div w:id="803818761">
      <w:bodyDiv w:val="1"/>
      <w:marLeft w:val="0"/>
      <w:marRight w:val="0"/>
      <w:marTop w:val="0"/>
      <w:marBottom w:val="0"/>
      <w:divBdr>
        <w:top w:val="none" w:sz="0" w:space="0" w:color="auto"/>
        <w:left w:val="none" w:sz="0" w:space="0" w:color="auto"/>
        <w:bottom w:val="none" w:sz="0" w:space="0" w:color="auto"/>
        <w:right w:val="none" w:sz="0" w:space="0" w:color="auto"/>
      </w:divBdr>
    </w:div>
    <w:div w:id="813520969">
      <w:bodyDiv w:val="1"/>
      <w:marLeft w:val="0"/>
      <w:marRight w:val="0"/>
      <w:marTop w:val="0"/>
      <w:marBottom w:val="0"/>
      <w:divBdr>
        <w:top w:val="none" w:sz="0" w:space="0" w:color="auto"/>
        <w:left w:val="none" w:sz="0" w:space="0" w:color="auto"/>
        <w:bottom w:val="none" w:sz="0" w:space="0" w:color="auto"/>
        <w:right w:val="none" w:sz="0" w:space="0" w:color="auto"/>
      </w:divBdr>
    </w:div>
    <w:div w:id="981155937">
      <w:bodyDiv w:val="1"/>
      <w:marLeft w:val="0"/>
      <w:marRight w:val="0"/>
      <w:marTop w:val="0"/>
      <w:marBottom w:val="0"/>
      <w:divBdr>
        <w:top w:val="none" w:sz="0" w:space="0" w:color="auto"/>
        <w:left w:val="none" w:sz="0" w:space="0" w:color="auto"/>
        <w:bottom w:val="none" w:sz="0" w:space="0" w:color="auto"/>
        <w:right w:val="none" w:sz="0" w:space="0" w:color="auto"/>
      </w:divBdr>
    </w:div>
    <w:div w:id="1011639206">
      <w:bodyDiv w:val="1"/>
      <w:marLeft w:val="0"/>
      <w:marRight w:val="0"/>
      <w:marTop w:val="0"/>
      <w:marBottom w:val="0"/>
      <w:divBdr>
        <w:top w:val="none" w:sz="0" w:space="0" w:color="auto"/>
        <w:left w:val="none" w:sz="0" w:space="0" w:color="auto"/>
        <w:bottom w:val="none" w:sz="0" w:space="0" w:color="auto"/>
        <w:right w:val="none" w:sz="0" w:space="0" w:color="auto"/>
      </w:divBdr>
    </w:div>
    <w:div w:id="1515223576">
      <w:bodyDiv w:val="1"/>
      <w:marLeft w:val="0"/>
      <w:marRight w:val="0"/>
      <w:marTop w:val="0"/>
      <w:marBottom w:val="0"/>
      <w:divBdr>
        <w:top w:val="none" w:sz="0" w:space="0" w:color="auto"/>
        <w:left w:val="none" w:sz="0" w:space="0" w:color="auto"/>
        <w:bottom w:val="none" w:sz="0" w:space="0" w:color="auto"/>
        <w:right w:val="none" w:sz="0" w:space="0" w:color="auto"/>
      </w:divBdr>
    </w:div>
    <w:div w:id="1579629617">
      <w:bodyDiv w:val="1"/>
      <w:marLeft w:val="0"/>
      <w:marRight w:val="0"/>
      <w:marTop w:val="0"/>
      <w:marBottom w:val="0"/>
      <w:divBdr>
        <w:top w:val="none" w:sz="0" w:space="0" w:color="auto"/>
        <w:left w:val="none" w:sz="0" w:space="0" w:color="auto"/>
        <w:bottom w:val="none" w:sz="0" w:space="0" w:color="auto"/>
        <w:right w:val="none" w:sz="0" w:space="0" w:color="auto"/>
      </w:divBdr>
    </w:div>
    <w:div w:id="1586913539">
      <w:bodyDiv w:val="1"/>
      <w:marLeft w:val="0"/>
      <w:marRight w:val="0"/>
      <w:marTop w:val="0"/>
      <w:marBottom w:val="0"/>
      <w:divBdr>
        <w:top w:val="none" w:sz="0" w:space="0" w:color="auto"/>
        <w:left w:val="none" w:sz="0" w:space="0" w:color="auto"/>
        <w:bottom w:val="none" w:sz="0" w:space="0" w:color="auto"/>
        <w:right w:val="none" w:sz="0" w:space="0" w:color="auto"/>
      </w:divBdr>
    </w:div>
    <w:div w:id="1659842613">
      <w:bodyDiv w:val="1"/>
      <w:marLeft w:val="0"/>
      <w:marRight w:val="0"/>
      <w:marTop w:val="0"/>
      <w:marBottom w:val="0"/>
      <w:divBdr>
        <w:top w:val="none" w:sz="0" w:space="0" w:color="auto"/>
        <w:left w:val="none" w:sz="0" w:space="0" w:color="auto"/>
        <w:bottom w:val="none" w:sz="0" w:space="0" w:color="auto"/>
        <w:right w:val="none" w:sz="0" w:space="0" w:color="auto"/>
      </w:divBdr>
    </w:div>
    <w:div w:id="1713069225">
      <w:bodyDiv w:val="1"/>
      <w:marLeft w:val="0"/>
      <w:marRight w:val="0"/>
      <w:marTop w:val="0"/>
      <w:marBottom w:val="0"/>
      <w:divBdr>
        <w:top w:val="none" w:sz="0" w:space="0" w:color="auto"/>
        <w:left w:val="none" w:sz="0" w:space="0" w:color="auto"/>
        <w:bottom w:val="none" w:sz="0" w:space="0" w:color="auto"/>
        <w:right w:val="none" w:sz="0" w:space="0" w:color="auto"/>
      </w:divBdr>
    </w:div>
    <w:div w:id="1937908675">
      <w:bodyDiv w:val="1"/>
      <w:marLeft w:val="0"/>
      <w:marRight w:val="0"/>
      <w:marTop w:val="0"/>
      <w:marBottom w:val="0"/>
      <w:divBdr>
        <w:top w:val="none" w:sz="0" w:space="0" w:color="auto"/>
        <w:left w:val="none" w:sz="0" w:space="0" w:color="auto"/>
        <w:bottom w:val="none" w:sz="0" w:space="0" w:color="auto"/>
        <w:right w:val="none" w:sz="0" w:space="0" w:color="auto"/>
      </w:divBdr>
      <w:divsChild>
        <w:div w:id="210193316">
          <w:marLeft w:val="547"/>
          <w:marRight w:val="0"/>
          <w:marTop w:val="200"/>
          <w:marBottom w:val="0"/>
          <w:divBdr>
            <w:top w:val="none" w:sz="0" w:space="0" w:color="auto"/>
            <w:left w:val="none" w:sz="0" w:space="0" w:color="auto"/>
            <w:bottom w:val="none" w:sz="0" w:space="0" w:color="auto"/>
            <w:right w:val="none" w:sz="0" w:space="0" w:color="auto"/>
          </w:divBdr>
        </w:div>
        <w:div w:id="280652730">
          <w:marLeft w:val="547"/>
          <w:marRight w:val="0"/>
          <w:marTop w:val="200"/>
          <w:marBottom w:val="0"/>
          <w:divBdr>
            <w:top w:val="none" w:sz="0" w:space="0" w:color="auto"/>
            <w:left w:val="none" w:sz="0" w:space="0" w:color="auto"/>
            <w:bottom w:val="none" w:sz="0" w:space="0" w:color="auto"/>
            <w:right w:val="none" w:sz="0" w:space="0" w:color="auto"/>
          </w:divBdr>
        </w:div>
        <w:div w:id="454443121">
          <w:marLeft w:val="547"/>
          <w:marRight w:val="0"/>
          <w:marTop w:val="200"/>
          <w:marBottom w:val="0"/>
          <w:divBdr>
            <w:top w:val="none" w:sz="0" w:space="0" w:color="auto"/>
            <w:left w:val="none" w:sz="0" w:space="0" w:color="auto"/>
            <w:bottom w:val="none" w:sz="0" w:space="0" w:color="auto"/>
            <w:right w:val="none" w:sz="0" w:space="0" w:color="auto"/>
          </w:divBdr>
        </w:div>
        <w:div w:id="1009940349">
          <w:marLeft w:val="547"/>
          <w:marRight w:val="0"/>
          <w:marTop w:val="200"/>
          <w:marBottom w:val="0"/>
          <w:divBdr>
            <w:top w:val="none" w:sz="0" w:space="0" w:color="auto"/>
            <w:left w:val="none" w:sz="0" w:space="0" w:color="auto"/>
            <w:bottom w:val="none" w:sz="0" w:space="0" w:color="auto"/>
            <w:right w:val="none" w:sz="0" w:space="0" w:color="auto"/>
          </w:divBdr>
        </w:div>
        <w:div w:id="1032875293">
          <w:marLeft w:val="547"/>
          <w:marRight w:val="0"/>
          <w:marTop w:val="200"/>
          <w:marBottom w:val="0"/>
          <w:divBdr>
            <w:top w:val="none" w:sz="0" w:space="0" w:color="auto"/>
            <w:left w:val="none" w:sz="0" w:space="0" w:color="auto"/>
            <w:bottom w:val="none" w:sz="0" w:space="0" w:color="auto"/>
            <w:right w:val="none" w:sz="0" w:space="0" w:color="auto"/>
          </w:divBdr>
        </w:div>
        <w:div w:id="1453554234">
          <w:marLeft w:val="547"/>
          <w:marRight w:val="0"/>
          <w:marTop w:val="200"/>
          <w:marBottom w:val="0"/>
          <w:divBdr>
            <w:top w:val="none" w:sz="0" w:space="0" w:color="auto"/>
            <w:left w:val="none" w:sz="0" w:space="0" w:color="auto"/>
            <w:bottom w:val="none" w:sz="0" w:space="0" w:color="auto"/>
            <w:right w:val="none" w:sz="0" w:space="0" w:color="auto"/>
          </w:divBdr>
        </w:div>
        <w:div w:id="1652981542">
          <w:marLeft w:val="547"/>
          <w:marRight w:val="0"/>
          <w:marTop w:val="200"/>
          <w:marBottom w:val="160"/>
          <w:divBdr>
            <w:top w:val="none" w:sz="0" w:space="0" w:color="auto"/>
            <w:left w:val="none" w:sz="0" w:space="0" w:color="auto"/>
            <w:bottom w:val="none" w:sz="0" w:space="0" w:color="auto"/>
            <w:right w:val="none" w:sz="0" w:space="0" w:color="auto"/>
          </w:divBdr>
        </w:div>
      </w:divsChild>
    </w:div>
    <w:div w:id="1944914169">
      <w:bodyDiv w:val="1"/>
      <w:marLeft w:val="0"/>
      <w:marRight w:val="0"/>
      <w:marTop w:val="0"/>
      <w:marBottom w:val="0"/>
      <w:divBdr>
        <w:top w:val="none" w:sz="0" w:space="0" w:color="auto"/>
        <w:left w:val="none" w:sz="0" w:space="0" w:color="auto"/>
        <w:bottom w:val="none" w:sz="0" w:space="0" w:color="auto"/>
        <w:right w:val="none" w:sz="0" w:space="0" w:color="auto"/>
      </w:divBdr>
    </w:div>
    <w:div w:id="2048096953">
      <w:bodyDiv w:val="1"/>
      <w:marLeft w:val="0"/>
      <w:marRight w:val="0"/>
      <w:marTop w:val="0"/>
      <w:marBottom w:val="0"/>
      <w:divBdr>
        <w:top w:val="none" w:sz="0" w:space="0" w:color="auto"/>
        <w:left w:val="none" w:sz="0" w:space="0" w:color="auto"/>
        <w:bottom w:val="none" w:sz="0" w:space="0" w:color="auto"/>
        <w:right w:val="none" w:sz="0" w:space="0" w:color="auto"/>
      </w:divBdr>
    </w:div>
    <w:div w:id="2146775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nhsbn.nacelsupport@nhs.net" TargetMode="External"/><Relationship Id="rId18" Type="http://schemas.openxmlformats.org/officeDocument/2006/relationships/hyperlink" Target="mailto:nhsbn.nacelsupport@nhs.net" TargetMode="External"/><Relationship Id="rId26" Type="http://schemas.openxmlformats.org/officeDocument/2006/relationships/hyperlink" Target="https://www.nacel.nhs.uk/policies" TargetMode="External"/><Relationship Id="rId39" Type="http://schemas.openxmlformats.org/officeDocument/2006/relationships/hyperlink" Target="https://www.nacel.nhs.uk/policies" TargetMode="External"/><Relationship Id="rId21" Type="http://schemas.openxmlformats.org/officeDocument/2006/relationships/hyperlink" Target="https://www.nacel.nhs.uk/dit-guidance" TargetMode="External"/><Relationship Id="rId34" Type="http://schemas.openxmlformats.org/officeDocument/2006/relationships/hyperlink" Target="https://data.nacel.nhs.uk/" TargetMode="External"/><Relationship Id="rId42" Type="http://schemas.openxmlformats.org/officeDocument/2006/relationships/footer" Target="footer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nacel.nhs.uk" TargetMode="External"/><Relationship Id="rId20" Type="http://schemas.openxmlformats.org/officeDocument/2006/relationships/image" Target="media/image1.png"/><Relationship Id="rId29" Type="http://schemas.openxmlformats.org/officeDocument/2006/relationships/hyperlink" Target="https://s3.eu-west-2.amazonaws.com/nhsbn-static/NACEL/2027/NACEL%20tips%20and%20tricks_Bereavement%20Survey%20Title.pdf" TargetMode="External"/><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acel.nhs.uk/" TargetMode="External"/><Relationship Id="rId24" Type="http://schemas.openxmlformats.org/officeDocument/2006/relationships/hyperlink" Target="https://www.nacel.nhs.uk/qi-documents" TargetMode="External"/><Relationship Id="rId32" Type="http://schemas.openxmlformats.org/officeDocument/2006/relationships/hyperlink" Target="https://s3.eu-west-2.amazonaws.com/nhsbn-static/NACEL/2027/Bereavement%20leaflet%202027.pptx" TargetMode="External"/><Relationship Id="rId37" Type="http://schemas.openxmlformats.org/officeDocument/2006/relationships/hyperlink" Target="https://www.nacel.nhs.uk/qi-about" TargetMode="External"/><Relationship Id="rId40" Type="http://schemas.openxmlformats.org/officeDocument/2006/relationships/hyperlink" Target="mailto:nhsbn.nacelsupport@nhs.net" TargetMode="External"/><Relationship Id="rId5" Type="http://schemas.openxmlformats.org/officeDocument/2006/relationships/numbering" Target="numbering.xml"/><Relationship Id="rId15" Type="http://schemas.openxmlformats.org/officeDocument/2006/relationships/hyperlink" Target="https://www.nacel.nhs.uk/key-dates" TargetMode="External"/><Relationship Id="rId23" Type="http://schemas.openxmlformats.org/officeDocument/2006/relationships/hyperlink" Target="https://www.nacel.nhs.uk/audit-guidance" TargetMode="External"/><Relationship Id="rId28" Type="http://schemas.openxmlformats.org/officeDocument/2006/relationships/hyperlink" Target="https://s3.eu-west-2.amazonaws.com/nhsbn-static/NACEL/2027/NACEL%202027%20Essential%20Bereavement%20Survey%20Questions.pdf" TargetMode="External"/><Relationship Id="rId36" Type="http://schemas.openxmlformats.org/officeDocument/2006/relationships/hyperlink" Target="https://s3.eu-west-2.amazonaws.com/nhsbn-static/NACEL/2024/StakeholderMap%20FINAL.pdf" TargetMode="External"/><Relationship Id="rId10" Type="http://schemas.openxmlformats.org/officeDocument/2006/relationships/endnotes" Target="endnotes.xml"/><Relationship Id="rId19" Type="http://schemas.openxmlformats.org/officeDocument/2006/relationships/hyperlink" Target="https://www.nhsbenchmarking.nhs.uk/" TargetMode="External"/><Relationship Id="rId31" Type="http://schemas.openxmlformats.org/officeDocument/2006/relationships/hyperlink" Target="https://s3.eu-west-2.amazonaws.com/nhsbn-static/NACEL/2027/Bereavement%20poster%202027.pptx"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acel.nhs.uk/qi-documents" TargetMode="External"/><Relationship Id="rId22" Type="http://schemas.openxmlformats.org/officeDocument/2006/relationships/hyperlink" Target="https://www.nhsbenchmarking.nhs.uk/" TargetMode="External"/><Relationship Id="rId27" Type="http://schemas.openxmlformats.org/officeDocument/2006/relationships/hyperlink" Target="https://s3.eu-west-2.amazonaws.com/nhsbn-static/NACEL/2027/NACEL%202027%20Information%20Governance%20Guidance%20for%20Trusts%20and%20Health%20Boards.pdf" TargetMode="External"/><Relationship Id="rId30" Type="http://schemas.openxmlformats.org/officeDocument/2006/relationships/hyperlink" Target="https://s3.eu-west-2.amazonaws.com/nhsbn-static/NACEL/2025/QS+high+response+rate+feedback+log+v2.xlsx" TargetMode="External"/><Relationship Id="rId35" Type="http://schemas.openxmlformats.org/officeDocument/2006/relationships/hyperlink" Target="https://www.nacel.nhs.uk/dit-guidance" TargetMode="External"/><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nacel.nhs.uk/audit-guidance" TargetMode="External"/><Relationship Id="rId17" Type="http://schemas.openxmlformats.org/officeDocument/2006/relationships/hyperlink" Target="https://www.nhsbenchmarking.nhs.uk/" TargetMode="External"/><Relationship Id="rId25" Type="http://schemas.openxmlformats.org/officeDocument/2006/relationships/hyperlink" Target="https://www.nacel.nhs.uk" TargetMode="External"/><Relationship Id="rId33" Type="http://schemas.openxmlformats.org/officeDocument/2006/relationships/hyperlink" Target="https://s3.eu-west-2.amazonaws.com/nhsbn-static/NACEL/2027/NACEL%202027%20Bereavement%20Survey%20letter.docx" TargetMode="External"/><Relationship Id="rId38" Type="http://schemas.openxmlformats.org/officeDocument/2006/relationships/hyperlink" Target="https://www.nacel.nhs.uk/qi-community-of-practic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Custom 2">
      <a:dk1>
        <a:sysClr val="windowText" lastClr="000000"/>
      </a:dk1>
      <a:lt1>
        <a:sysClr val="window" lastClr="FFFFFF"/>
      </a:lt1>
      <a:dk2>
        <a:srgbClr val="44546A"/>
      </a:dk2>
      <a:lt2>
        <a:srgbClr val="E7E6E6"/>
      </a:lt2>
      <a:accent1>
        <a:srgbClr val="375623"/>
      </a:accent1>
      <a:accent2>
        <a:srgbClr val="ED7D31"/>
      </a:accent2>
      <a:accent3>
        <a:srgbClr val="A5A5A5"/>
      </a:accent3>
      <a:accent4>
        <a:srgbClr val="FFC000"/>
      </a:accent4>
      <a:accent5>
        <a:srgbClr val="375623"/>
      </a:accent5>
      <a:accent6>
        <a:srgbClr val="70AD47"/>
      </a:accent6>
      <a:hlink>
        <a:srgbClr val="375623"/>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ResponsiblePerson xmlns="55f99f0f-87d8-4be9-9440-df45adb4b6c5">Not Noted</ResponsiblePerson>
    <DocumentOwner_x002f_Creator xmlns="55f99f0f-87d8-4be9-9440-df45adb4b6c5">
      <UserInfo>
        <DisplayName/>
        <AccountId xsi:nil="true"/>
        <AccountType/>
      </UserInfo>
    </DocumentOwner_x002f_Creator>
    <_Flow_SignoffStatus xmlns="55f99f0f-87d8-4be9-9440-df45adb4b6c5" xsi:nil="true"/>
    <lcf76f155ced4ddcb4097134ff3c332f xmlns="55f99f0f-87d8-4be9-9440-df45adb4b6c5">
      <Terms xmlns="http://schemas.microsoft.com/office/infopath/2007/PartnerControls"/>
    </lcf76f155ced4ddcb4097134ff3c332f>
    <TaxCatchAll xmlns="eb556f03-1ab5-485a-9aea-0ebfad31cc2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1373531D4220B4B8DC89F1AB9AB0F90" ma:contentTypeVersion="22" ma:contentTypeDescription="Create a new document." ma:contentTypeScope="" ma:versionID="479f668a70516ae21027862fcf6360b7">
  <xsd:schema xmlns:xsd="http://www.w3.org/2001/XMLSchema" xmlns:xs="http://www.w3.org/2001/XMLSchema" xmlns:p="http://schemas.microsoft.com/office/2006/metadata/properties" xmlns:ns2="55f99f0f-87d8-4be9-9440-df45adb4b6c5" xmlns:ns3="eb556f03-1ab5-485a-9aea-0ebfad31cc2d" targetNamespace="http://schemas.microsoft.com/office/2006/metadata/properties" ma:root="true" ma:fieldsID="b1d769db5b4fb45b25d703c3fc871aec" ns2:_="" ns3:_="">
    <xsd:import namespace="55f99f0f-87d8-4be9-9440-df45adb4b6c5"/>
    <xsd:import namespace="eb556f03-1ab5-485a-9aea-0ebfad31cc2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ObjectDetectorVersions" minOccurs="0"/>
                <xsd:element ref="ns2:MediaLengthInSeconds" minOccurs="0"/>
                <xsd:element ref="ns2:MediaServiceGenerationTime" minOccurs="0"/>
                <xsd:element ref="ns2:MediaServiceEventHashCode" minOccurs="0"/>
                <xsd:element ref="ns2:lcf76f155ced4ddcb4097134ff3c332f" minOccurs="0"/>
                <xsd:element ref="ns3:TaxCatchAll" minOccurs="0"/>
                <xsd:element ref="ns2:MediaServiceLocation" minOccurs="0"/>
                <xsd:element ref="ns2:MediaServiceOCR" minOccurs="0"/>
                <xsd:element ref="ns2:MediaServiceSearchProperties" minOccurs="0"/>
                <xsd:element ref="ns2:DocumentOwner_x002f_Creator" minOccurs="0"/>
                <xsd:element ref="ns2:ResponsiblePerson"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f99f0f-87d8-4be9-9440-df45adb4b6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906682b-9559-4106-93ae-b8242d33929b"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dexed="true"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DocumentOwner_x002f_Creator" ma:index="23" nillable="true" ma:displayName="Document Owner/ Creator" ma:description="Person responsible for the documents creation and/ or updates " ma:format="Dropdown" ma:list="UserInfo" ma:SharePointGroup="0" ma:internalName="DocumentOwner_x002f_Creator">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sponsiblePerson" ma:index="24" nillable="true" ma:displayName="Responsible Person" ma:default="Not Noted" ma:format="Dropdown" ma:internalName="ResponsiblePerson">
      <xsd:simpleType>
        <xsd:restriction base="dms:Text">
          <xsd:maxLength value="255"/>
        </xsd:restriction>
      </xsd:simpleType>
    </xsd:element>
    <xsd:element name="_Flow_SignoffStatus" ma:index="25" nillable="true" ma:displayName="Sign-off status" ma:internalName="_x0024_Resources_x003a_core_x002c_Signoff_Status">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556f03-1ab5-485a-9aea-0ebfad31cc2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aa2d7fde-55e5-4372-af2a-23590a38db2a}" ma:internalName="TaxCatchAll" ma:showField="CatchAllData" ma:web="eb556f03-1ab5-485a-9aea-0ebfad31cc2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8C75057-DF99-4ACF-BACD-BB2F8E13FF64}">
  <ds:schemaRefs>
    <ds:schemaRef ds:uri="http://schemas.openxmlformats.org/officeDocument/2006/bibliography"/>
  </ds:schemaRefs>
</ds:datastoreItem>
</file>

<file path=customXml/itemProps2.xml><?xml version="1.0" encoding="utf-8"?>
<ds:datastoreItem xmlns:ds="http://schemas.openxmlformats.org/officeDocument/2006/customXml" ds:itemID="{947E7999-60A1-4E0C-9589-94CF818F0CF6}">
  <ds:schemaRefs>
    <ds:schemaRef ds:uri="http://schemas.microsoft.com/office/2006/metadata/properties"/>
    <ds:schemaRef ds:uri="http://schemas.microsoft.com/office/infopath/2007/PartnerControls"/>
    <ds:schemaRef ds:uri="55f99f0f-87d8-4be9-9440-df45adb4b6c5"/>
    <ds:schemaRef ds:uri="eb556f03-1ab5-485a-9aea-0ebfad31cc2d"/>
  </ds:schemaRefs>
</ds:datastoreItem>
</file>

<file path=customXml/itemProps3.xml><?xml version="1.0" encoding="utf-8"?>
<ds:datastoreItem xmlns:ds="http://schemas.openxmlformats.org/officeDocument/2006/customXml" ds:itemID="{455216A1-320E-4AFC-B8D3-C48DA2E256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f99f0f-87d8-4be9-9440-df45adb4b6c5"/>
    <ds:schemaRef ds:uri="eb556f03-1ab5-485a-9aea-0ebfad31cc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D1EE505-0D62-4987-A71E-413510136AC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380</TotalTime>
  <Pages>15</Pages>
  <Words>4997</Words>
  <Characters>28486</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Chloe Hocking</dc:creator>
  <cp:keywords/>
  <dc:description/>
  <cp:lastModifiedBy>Kaitlyn Biggs</cp:lastModifiedBy>
  <cp:revision>79</cp:revision>
  <cp:lastPrinted>2025-10-24T21:12:00Z</cp:lastPrinted>
  <dcterms:created xsi:type="dcterms:W3CDTF">2026-10-15T20:26:00Z</dcterms:created>
  <dcterms:modified xsi:type="dcterms:W3CDTF">2026-10-28T14:54:00Z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0x010100D1373531D4220B4B8DC89F1AB9AB0F90</vt:lpwstr>
  </property>
  <property fmtid="{D5CDD505-2E9C-101B-9397-08002B2CF9AE}" pid="3" name="MediaServiceImageTags">
    <vt:lpwstr/>
  </property>
  <property fmtid="{D5CDD505-2E9C-101B-9397-08002B2CF9AE}" pid="4" name="docLang">
    <vt:lpwstr>en</vt:lpwstr>
  </property>
</Properties>
</file>