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1E8ED" w14:textId="77777777" w:rsidR="00F576BD" w:rsidRPr="00860271" w:rsidRDefault="00F576BD" w:rsidP="00F576BD">
      <w:pPr>
        <w:rPr>
          <w:rFonts w:asciiTheme="majorHAnsi" w:hAnsiTheme="majorHAnsi"/>
          <w:color w:val="215E99" w:themeColor="text2" w:themeTint="BF"/>
          <w:sz w:val="28"/>
          <w:szCs w:val="28"/>
        </w:rPr>
      </w:pPr>
      <w:r w:rsidRPr="00860271">
        <w:rPr>
          <w:rFonts w:asciiTheme="majorHAnsi" w:hAnsiTheme="majorHAnsi"/>
          <w:color w:val="215E99" w:themeColor="text2" w:themeTint="BF"/>
          <w:sz w:val="28"/>
          <w:szCs w:val="28"/>
        </w:rPr>
        <w:t>What does training look like if it's going to enable every training teacher to finish their teacher training experience feeling ready to teach all children and particularly those who face significant barriers to their learning?  What does it look like to have a curriculum experience that enables SEND and inclusion to be so embedded that an inclusive lens is just taken for granted</w:t>
      </w:r>
      <w:r>
        <w:rPr>
          <w:rFonts w:asciiTheme="majorHAnsi" w:hAnsiTheme="majorHAnsi"/>
          <w:color w:val="215E99" w:themeColor="text2" w:themeTint="BF"/>
          <w:sz w:val="28"/>
          <w:szCs w:val="28"/>
        </w:rPr>
        <w:t>?</w:t>
      </w:r>
      <w:r w:rsidRPr="00860271">
        <w:rPr>
          <w:rFonts w:asciiTheme="majorHAnsi" w:hAnsiTheme="majorHAnsi"/>
          <w:color w:val="215E99" w:themeColor="text2" w:themeTint="BF"/>
          <w:sz w:val="28"/>
          <w:szCs w:val="28"/>
        </w:rPr>
        <w:t> </w:t>
      </w:r>
    </w:p>
    <w:p w14:paraId="1FB19920" w14:textId="77777777" w:rsidR="00F576BD" w:rsidRDefault="00F576BD" w:rsidP="00F576BD">
      <w:pPr>
        <w:rPr>
          <w:rFonts w:ascii="Aptos" w:hAnsi="Aptos"/>
          <w:color w:val="000000"/>
          <w:sz w:val="22"/>
          <w:szCs w:val="22"/>
        </w:rPr>
      </w:pPr>
      <w:r>
        <w:rPr>
          <w:rFonts w:ascii="Aptos" w:hAnsi="Aptos"/>
          <w:color w:val="000000"/>
          <w:sz w:val="22"/>
          <w:szCs w:val="22"/>
        </w:rPr>
        <w:t xml:space="preserve">Margaret Mulholland, </w:t>
      </w:r>
      <w:r w:rsidRPr="00EB212C">
        <w:rPr>
          <w:rFonts w:ascii="Aptos" w:hAnsi="Aptos"/>
          <w:sz w:val="22"/>
          <w:szCs w:val="22"/>
        </w:rPr>
        <w:t>Association of School and College Leaders</w:t>
      </w:r>
    </w:p>
    <w:p w14:paraId="34D94B02" w14:textId="77777777" w:rsidR="00F576BD" w:rsidRPr="007A6BBC" w:rsidRDefault="00F576BD" w:rsidP="00F576BD">
      <w:pPr>
        <w:rPr>
          <w:i/>
          <w:iCs/>
          <w:sz w:val="22"/>
          <w:szCs w:val="22"/>
        </w:rPr>
      </w:pPr>
    </w:p>
    <w:p w14:paraId="0F1F66C5" w14:textId="77777777" w:rsidR="00F576BD" w:rsidRPr="00075AC5" w:rsidRDefault="00F576BD" w:rsidP="00F576BD">
      <w:pPr>
        <w:rPr>
          <w:rFonts w:ascii="Aptos" w:hAnsi="Aptos"/>
          <w:color w:val="000000"/>
          <w:sz w:val="22"/>
          <w:szCs w:val="22"/>
        </w:rPr>
      </w:pPr>
      <w:r w:rsidRPr="00075AC5">
        <w:rPr>
          <w:rFonts w:ascii="Aptos" w:hAnsi="Aptos"/>
          <w:color w:val="000000"/>
          <w:sz w:val="22"/>
          <w:szCs w:val="22"/>
        </w:rPr>
        <w:t>Hi, my name's Margaret Mulholland and I just wanted to share some provocations that might support your thinking in preparation for the panel discussion at the conference. </w:t>
      </w:r>
    </w:p>
    <w:p w14:paraId="42B63B47" w14:textId="77777777" w:rsidR="00F576BD" w:rsidRPr="00075AC5" w:rsidRDefault="00F576BD" w:rsidP="00F576BD">
      <w:pPr>
        <w:rPr>
          <w:rFonts w:ascii="Aptos" w:hAnsi="Aptos"/>
          <w:color w:val="000000"/>
          <w:sz w:val="22"/>
          <w:szCs w:val="22"/>
        </w:rPr>
      </w:pPr>
      <w:r w:rsidRPr="00075AC5">
        <w:rPr>
          <w:rFonts w:ascii="Aptos" w:hAnsi="Aptos"/>
          <w:color w:val="000000"/>
          <w:sz w:val="22"/>
          <w:szCs w:val="22"/>
        </w:rPr>
        <w:t>I was very lucky 18 months ago to be asked by NASBTT to think about how we prepare trainee teachers better for more inclusive, more complex classrooms, and how we enable them to thrive. For me, I keep going back to asking - what does it look like? What does training look like if it's going to enable every training teacher to finish their teacher training experience feeling ready to teach all children and particularly those who face significant barriers to their learning?  What does it look like to have a curriculum experience that enables SEND and inclusion to be so embedded that an inclusive lens is just taken for granted. </w:t>
      </w:r>
    </w:p>
    <w:p w14:paraId="640CF6F8" w14:textId="77777777" w:rsidR="00F576BD" w:rsidRPr="00075AC5" w:rsidRDefault="00F576BD" w:rsidP="00F576BD">
      <w:pPr>
        <w:rPr>
          <w:rFonts w:ascii="Aptos" w:hAnsi="Aptos"/>
          <w:color w:val="000000"/>
          <w:sz w:val="22"/>
          <w:szCs w:val="22"/>
        </w:rPr>
      </w:pPr>
      <w:r w:rsidRPr="00075AC5">
        <w:rPr>
          <w:rFonts w:ascii="Aptos" w:hAnsi="Aptos"/>
          <w:color w:val="000000"/>
          <w:sz w:val="22"/>
          <w:szCs w:val="22"/>
        </w:rPr>
        <w:t>I had the opportunity to work with focus groups of providers who explained their current curriculum opportunities, an incredibly rich range of SEND experiences from ITAP</w:t>
      </w:r>
      <w:r>
        <w:rPr>
          <w:rFonts w:ascii="Aptos" w:hAnsi="Aptos"/>
          <w:color w:val="000000"/>
          <w:sz w:val="22"/>
          <w:szCs w:val="22"/>
        </w:rPr>
        <w:t xml:space="preserve"> [Intensive Training and Practice],</w:t>
      </w:r>
      <w:r w:rsidRPr="00075AC5">
        <w:rPr>
          <w:rFonts w:ascii="Aptos" w:hAnsi="Aptos"/>
          <w:color w:val="000000"/>
          <w:sz w:val="22"/>
          <w:szCs w:val="22"/>
        </w:rPr>
        <w:t xml:space="preserve"> to case study work</w:t>
      </w:r>
      <w:r>
        <w:rPr>
          <w:rFonts w:ascii="Aptos" w:hAnsi="Aptos"/>
          <w:color w:val="000000"/>
          <w:sz w:val="22"/>
          <w:szCs w:val="22"/>
        </w:rPr>
        <w:t>,</w:t>
      </w:r>
      <w:r w:rsidRPr="00075AC5">
        <w:rPr>
          <w:rFonts w:ascii="Aptos" w:hAnsi="Aptos"/>
          <w:color w:val="000000"/>
          <w:sz w:val="22"/>
          <w:szCs w:val="22"/>
        </w:rPr>
        <w:t xml:space="preserve"> to conference days</w:t>
      </w:r>
      <w:r>
        <w:rPr>
          <w:rFonts w:ascii="Aptos" w:hAnsi="Aptos"/>
          <w:color w:val="000000"/>
          <w:sz w:val="22"/>
          <w:szCs w:val="22"/>
        </w:rPr>
        <w:t>,</w:t>
      </w:r>
      <w:r w:rsidRPr="00075AC5">
        <w:rPr>
          <w:rFonts w:ascii="Aptos" w:hAnsi="Aptos"/>
          <w:color w:val="000000"/>
          <w:sz w:val="22"/>
          <w:szCs w:val="22"/>
        </w:rPr>
        <w:t xml:space="preserve"> to research</w:t>
      </w:r>
      <w:r>
        <w:rPr>
          <w:rFonts w:ascii="Aptos" w:hAnsi="Aptos"/>
          <w:color w:val="000000"/>
          <w:sz w:val="22"/>
          <w:szCs w:val="22"/>
        </w:rPr>
        <w:t>,</w:t>
      </w:r>
      <w:r w:rsidRPr="00075AC5">
        <w:rPr>
          <w:rFonts w:ascii="Aptos" w:hAnsi="Aptos"/>
          <w:color w:val="000000"/>
          <w:sz w:val="22"/>
          <w:szCs w:val="22"/>
        </w:rPr>
        <w:t xml:space="preserve"> to inquiry</w:t>
      </w:r>
      <w:r>
        <w:rPr>
          <w:rFonts w:ascii="Aptos" w:hAnsi="Aptos"/>
          <w:color w:val="000000"/>
          <w:sz w:val="22"/>
          <w:szCs w:val="22"/>
        </w:rPr>
        <w:t>,</w:t>
      </w:r>
      <w:r w:rsidRPr="00075AC5">
        <w:rPr>
          <w:rFonts w:ascii="Aptos" w:hAnsi="Aptos"/>
          <w:color w:val="000000"/>
          <w:sz w:val="22"/>
          <w:szCs w:val="22"/>
        </w:rPr>
        <w:t xml:space="preserve"> to lesson planning development. I mean, a whole array that exists now. </w:t>
      </w:r>
    </w:p>
    <w:p w14:paraId="606B82AD" w14:textId="77777777" w:rsidR="00F576BD" w:rsidRPr="00075AC5" w:rsidRDefault="00F576BD" w:rsidP="00F576BD">
      <w:pPr>
        <w:rPr>
          <w:rFonts w:ascii="Aptos" w:hAnsi="Aptos"/>
          <w:sz w:val="22"/>
          <w:szCs w:val="22"/>
        </w:rPr>
      </w:pPr>
      <w:r w:rsidRPr="00075AC5">
        <w:rPr>
          <w:rFonts w:ascii="Aptos" w:hAnsi="Aptos"/>
          <w:color w:val="000000"/>
          <w:sz w:val="22"/>
          <w:szCs w:val="22"/>
        </w:rPr>
        <w:t xml:space="preserve">You can no longer say that SEND is a bolt on to the ITE curriculum. However, that doesn't mean that either providers or trainee teachers feel that the work is done, that in fact, whilst it is much more comprehensive and Ofsted's thematic monitoring reviews supported this, there is still a challenge around sequencing and coherence. </w:t>
      </w:r>
      <w:r w:rsidRPr="00075AC5">
        <w:rPr>
          <w:rFonts w:ascii="Aptos" w:hAnsi="Aptos"/>
          <w:sz w:val="22"/>
          <w:szCs w:val="22"/>
        </w:rPr>
        <w:t>W</w:t>
      </w:r>
      <w:r w:rsidRPr="00075AC5">
        <w:rPr>
          <w:rFonts w:ascii="Aptos" w:hAnsi="Aptos"/>
          <w:color w:val="000000"/>
          <w:sz w:val="22"/>
          <w:szCs w:val="22"/>
        </w:rPr>
        <w:t xml:space="preserve">e don't feel that we're at a point yet where we have a really truly inclusive curriculum design, where </w:t>
      </w:r>
      <w:r>
        <w:rPr>
          <w:rFonts w:ascii="Aptos" w:hAnsi="Aptos"/>
          <w:color w:val="000000"/>
          <w:sz w:val="22"/>
          <w:szCs w:val="22"/>
        </w:rPr>
        <w:t>SEND</w:t>
      </w:r>
      <w:r w:rsidRPr="00075AC5">
        <w:rPr>
          <w:rFonts w:ascii="Aptos" w:hAnsi="Aptos"/>
          <w:color w:val="000000"/>
          <w:sz w:val="22"/>
          <w:szCs w:val="22"/>
        </w:rPr>
        <w:t xml:space="preserve"> is permeated through the curriculum. In fact, one of the things that I found was that </w:t>
      </w:r>
      <w:r w:rsidRPr="00075AC5">
        <w:rPr>
          <w:rFonts w:ascii="Aptos" w:hAnsi="Aptos"/>
          <w:sz w:val="22"/>
          <w:szCs w:val="22"/>
        </w:rPr>
        <w:t>ITT P</w:t>
      </w:r>
      <w:r w:rsidRPr="00075AC5">
        <w:rPr>
          <w:rFonts w:ascii="Aptos" w:hAnsi="Aptos"/>
          <w:color w:val="000000"/>
          <w:sz w:val="22"/>
          <w:szCs w:val="22"/>
        </w:rPr>
        <w:t xml:space="preserve">roviders felt they almost had to </w:t>
      </w:r>
      <w:r>
        <w:rPr>
          <w:rFonts w:ascii="Aptos" w:hAnsi="Aptos"/>
          <w:color w:val="000000"/>
          <w:sz w:val="22"/>
          <w:szCs w:val="22"/>
        </w:rPr>
        <w:t>‘</w:t>
      </w:r>
      <w:r w:rsidRPr="00075AC5">
        <w:rPr>
          <w:rFonts w:ascii="Aptos" w:hAnsi="Aptos"/>
          <w:color w:val="000000"/>
          <w:sz w:val="22"/>
          <w:szCs w:val="22"/>
        </w:rPr>
        <w:t>badge</w:t>
      </w:r>
      <w:r>
        <w:rPr>
          <w:rFonts w:ascii="Aptos" w:hAnsi="Aptos"/>
          <w:color w:val="000000"/>
          <w:sz w:val="22"/>
          <w:szCs w:val="22"/>
        </w:rPr>
        <w:t>’</w:t>
      </w:r>
      <w:r w:rsidRPr="00075AC5">
        <w:rPr>
          <w:rFonts w:ascii="Aptos" w:hAnsi="Aptos"/>
          <w:color w:val="000000"/>
          <w:sz w:val="22"/>
          <w:szCs w:val="22"/>
        </w:rPr>
        <w:t xml:space="preserve"> </w:t>
      </w:r>
      <w:r w:rsidRPr="00075AC5">
        <w:rPr>
          <w:rFonts w:ascii="Aptos" w:hAnsi="Aptos"/>
          <w:sz w:val="22"/>
          <w:szCs w:val="22"/>
        </w:rPr>
        <w:t xml:space="preserve">SEND </w:t>
      </w:r>
      <w:r w:rsidRPr="00075AC5">
        <w:rPr>
          <w:rFonts w:ascii="Aptos" w:hAnsi="Aptos"/>
          <w:color w:val="000000"/>
          <w:sz w:val="22"/>
          <w:szCs w:val="22"/>
        </w:rPr>
        <w:t>across their curriculum if it was going to be recognised sufficiently by the trainee teachers</w:t>
      </w:r>
      <w:r>
        <w:rPr>
          <w:rFonts w:ascii="Aptos" w:hAnsi="Aptos"/>
          <w:color w:val="000000"/>
          <w:sz w:val="22"/>
          <w:szCs w:val="22"/>
        </w:rPr>
        <w:t>,</w:t>
      </w:r>
      <w:r w:rsidRPr="00075AC5">
        <w:rPr>
          <w:rFonts w:ascii="Aptos" w:hAnsi="Aptos"/>
          <w:sz w:val="22"/>
          <w:szCs w:val="22"/>
        </w:rPr>
        <w:t xml:space="preserve"> if </w:t>
      </w:r>
      <w:r w:rsidRPr="00075AC5">
        <w:rPr>
          <w:rFonts w:ascii="Aptos" w:hAnsi="Aptos"/>
          <w:color w:val="000000"/>
          <w:sz w:val="22"/>
          <w:szCs w:val="22"/>
        </w:rPr>
        <w:t xml:space="preserve"> it was going to be reflected on </w:t>
      </w:r>
      <w:r>
        <w:rPr>
          <w:rFonts w:ascii="Aptos" w:hAnsi="Aptos"/>
          <w:color w:val="000000"/>
          <w:sz w:val="22"/>
          <w:szCs w:val="22"/>
        </w:rPr>
        <w:t xml:space="preserve">[by the trainee teachers] </w:t>
      </w:r>
      <w:r w:rsidRPr="00075AC5">
        <w:rPr>
          <w:rFonts w:ascii="Aptos" w:hAnsi="Aptos"/>
          <w:color w:val="000000"/>
          <w:sz w:val="22"/>
          <w:szCs w:val="22"/>
        </w:rPr>
        <w:t>as having had that opportunity to engage deeply around special educational needs. There was almost a need to identify new inclusive training to emphasise speech and language engagement</w:t>
      </w:r>
      <w:r>
        <w:rPr>
          <w:rFonts w:ascii="Aptos" w:hAnsi="Aptos"/>
          <w:color w:val="000000"/>
          <w:sz w:val="22"/>
          <w:szCs w:val="22"/>
        </w:rPr>
        <w:t>,</w:t>
      </w:r>
      <w:r w:rsidRPr="00075AC5">
        <w:rPr>
          <w:rFonts w:ascii="Aptos" w:hAnsi="Aptos"/>
          <w:color w:val="000000"/>
          <w:sz w:val="22"/>
          <w:szCs w:val="22"/>
        </w:rPr>
        <w:t xml:space="preserve"> so there's a need for identification. But this then often became a kind of as I say, </w:t>
      </w:r>
      <w:r>
        <w:rPr>
          <w:rFonts w:ascii="Aptos" w:hAnsi="Aptos"/>
          <w:color w:val="000000"/>
          <w:sz w:val="22"/>
          <w:szCs w:val="22"/>
        </w:rPr>
        <w:t>‘</w:t>
      </w:r>
      <w:r w:rsidRPr="00075AC5">
        <w:rPr>
          <w:rFonts w:ascii="Aptos" w:hAnsi="Aptos"/>
          <w:color w:val="000000"/>
          <w:sz w:val="22"/>
          <w:szCs w:val="22"/>
        </w:rPr>
        <w:t>badging</w:t>
      </w:r>
      <w:r>
        <w:rPr>
          <w:rFonts w:ascii="Aptos" w:hAnsi="Aptos"/>
          <w:color w:val="000000"/>
          <w:sz w:val="22"/>
          <w:szCs w:val="22"/>
        </w:rPr>
        <w:t>’</w:t>
      </w:r>
      <w:r w:rsidRPr="00075AC5">
        <w:rPr>
          <w:rFonts w:ascii="Aptos" w:hAnsi="Aptos"/>
          <w:color w:val="000000"/>
          <w:sz w:val="22"/>
          <w:szCs w:val="22"/>
        </w:rPr>
        <w:t xml:space="preserve"> experience. So how do we overcome that? </w:t>
      </w:r>
    </w:p>
    <w:p w14:paraId="178106FC" w14:textId="77777777" w:rsidR="00F576BD" w:rsidRPr="00075AC5" w:rsidRDefault="00F576BD" w:rsidP="00F576BD">
      <w:pPr>
        <w:rPr>
          <w:rFonts w:ascii="Aptos" w:hAnsi="Aptos"/>
          <w:sz w:val="22"/>
          <w:szCs w:val="22"/>
        </w:rPr>
      </w:pPr>
      <w:r w:rsidRPr="00075AC5">
        <w:rPr>
          <w:rFonts w:ascii="Aptos" w:hAnsi="Aptos"/>
          <w:color w:val="000000"/>
          <w:sz w:val="22"/>
          <w:szCs w:val="22"/>
        </w:rPr>
        <w:t>What do we do to enable a much more implicit</w:t>
      </w:r>
      <w:r>
        <w:rPr>
          <w:rFonts w:ascii="Aptos" w:hAnsi="Aptos"/>
          <w:color w:val="000000"/>
          <w:sz w:val="22"/>
          <w:szCs w:val="22"/>
        </w:rPr>
        <w:t>,</w:t>
      </w:r>
      <w:r w:rsidRPr="00075AC5">
        <w:rPr>
          <w:rFonts w:ascii="Aptos" w:hAnsi="Aptos"/>
          <w:color w:val="000000"/>
          <w:sz w:val="22"/>
          <w:szCs w:val="22"/>
        </w:rPr>
        <w:t xml:space="preserve"> </w:t>
      </w:r>
      <w:r>
        <w:rPr>
          <w:rFonts w:ascii="Aptos" w:hAnsi="Aptos"/>
          <w:color w:val="000000"/>
          <w:sz w:val="22"/>
          <w:szCs w:val="22"/>
        </w:rPr>
        <w:t>o</w:t>
      </w:r>
      <w:r w:rsidRPr="00075AC5">
        <w:rPr>
          <w:rFonts w:ascii="Aptos" w:hAnsi="Aptos"/>
          <w:color w:val="000000"/>
          <w:sz w:val="22"/>
          <w:szCs w:val="22"/>
        </w:rPr>
        <w:t xml:space="preserve">r intrinsic </w:t>
      </w:r>
      <w:r>
        <w:rPr>
          <w:rFonts w:ascii="Aptos" w:hAnsi="Aptos"/>
          <w:color w:val="000000"/>
          <w:sz w:val="22"/>
          <w:szCs w:val="22"/>
        </w:rPr>
        <w:t xml:space="preserve">and </w:t>
      </w:r>
      <w:r w:rsidRPr="00075AC5">
        <w:rPr>
          <w:rFonts w:ascii="Aptos" w:hAnsi="Aptos"/>
          <w:color w:val="000000"/>
          <w:sz w:val="22"/>
          <w:szCs w:val="22"/>
        </w:rPr>
        <w:t xml:space="preserve">yet explicit experience of </w:t>
      </w:r>
      <w:r>
        <w:rPr>
          <w:rFonts w:ascii="Aptos" w:hAnsi="Aptos"/>
          <w:color w:val="000000"/>
          <w:sz w:val="22"/>
          <w:szCs w:val="22"/>
        </w:rPr>
        <w:t>SEND</w:t>
      </w:r>
      <w:r w:rsidRPr="00075AC5">
        <w:rPr>
          <w:rFonts w:ascii="Aptos" w:hAnsi="Aptos"/>
          <w:color w:val="000000"/>
          <w:sz w:val="22"/>
          <w:szCs w:val="22"/>
        </w:rPr>
        <w:t xml:space="preserve"> coverage</w:t>
      </w:r>
      <w:r>
        <w:rPr>
          <w:rFonts w:ascii="Aptos" w:hAnsi="Aptos"/>
          <w:color w:val="000000"/>
          <w:sz w:val="22"/>
          <w:szCs w:val="22"/>
        </w:rPr>
        <w:t>?</w:t>
      </w:r>
      <w:r w:rsidRPr="00075AC5">
        <w:rPr>
          <w:rFonts w:ascii="Aptos" w:hAnsi="Aptos"/>
          <w:sz w:val="22"/>
          <w:szCs w:val="22"/>
        </w:rPr>
        <w:t xml:space="preserve"> </w:t>
      </w:r>
      <w:r w:rsidRPr="00075AC5">
        <w:rPr>
          <w:rFonts w:ascii="Aptos" w:hAnsi="Aptos"/>
          <w:color w:val="000000"/>
          <w:sz w:val="22"/>
          <w:szCs w:val="22"/>
        </w:rPr>
        <w:t> I think that's one of our challenges. How do we build the self-confidence of teachers, the self-efficacy</w:t>
      </w:r>
      <w:r w:rsidRPr="00075AC5">
        <w:rPr>
          <w:rFonts w:ascii="Aptos" w:hAnsi="Aptos"/>
          <w:sz w:val="22"/>
          <w:szCs w:val="22"/>
        </w:rPr>
        <w:t>,</w:t>
      </w:r>
      <w:r w:rsidRPr="00075AC5">
        <w:rPr>
          <w:rFonts w:ascii="Aptos" w:hAnsi="Aptos"/>
          <w:color w:val="000000"/>
          <w:sz w:val="22"/>
          <w:szCs w:val="22"/>
        </w:rPr>
        <w:t xml:space="preserve"> in relation to supporting complex learners? </w:t>
      </w:r>
    </w:p>
    <w:p w14:paraId="4BF5A6BF" w14:textId="77777777" w:rsidR="00F576BD" w:rsidRPr="00075AC5" w:rsidRDefault="00F576BD" w:rsidP="00F576BD">
      <w:pPr>
        <w:rPr>
          <w:rFonts w:ascii="Aptos" w:hAnsi="Aptos" w:cs="Calibri"/>
          <w:sz w:val="22"/>
          <w:szCs w:val="22"/>
        </w:rPr>
      </w:pPr>
      <w:r w:rsidRPr="00075AC5">
        <w:rPr>
          <w:rFonts w:ascii="Aptos" w:hAnsi="Aptos"/>
          <w:color w:val="000000"/>
          <w:sz w:val="22"/>
          <w:szCs w:val="22"/>
        </w:rPr>
        <w:t xml:space="preserve">We know that training teachers often experience the </w:t>
      </w:r>
      <w:r>
        <w:rPr>
          <w:rFonts w:ascii="Aptos" w:hAnsi="Aptos"/>
          <w:color w:val="000000"/>
          <w:sz w:val="22"/>
          <w:szCs w:val="22"/>
        </w:rPr>
        <w:t>sense of</w:t>
      </w:r>
      <w:r w:rsidRPr="00075AC5">
        <w:rPr>
          <w:rFonts w:ascii="Aptos" w:hAnsi="Aptos"/>
          <w:color w:val="000000"/>
          <w:sz w:val="22"/>
          <w:szCs w:val="22"/>
        </w:rPr>
        <w:t xml:space="preserve"> classroom disconnect. Where they've really thought about the modelling, thought about the planning, thought about their adaptive practice </w:t>
      </w:r>
      <w:r>
        <w:rPr>
          <w:rFonts w:ascii="Aptos" w:hAnsi="Aptos"/>
          <w:color w:val="000000"/>
          <w:sz w:val="22"/>
          <w:szCs w:val="22"/>
        </w:rPr>
        <w:t>a</w:t>
      </w:r>
      <w:r w:rsidRPr="00075AC5">
        <w:rPr>
          <w:rFonts w:ascii="Aptos" w:hAnsi="Aptos"/>
          <w:color w:val="000000"/>
          <w:sz w:val="22"/>
          <w:szCs w:val="22"/>
        </w:rPr>
        <w:t>nd developed and rehearsed and tested</w:t>
      </w:r>
      <w:r>
        <w:rPr>
          <w:rFonts w:ascii="Aptos" w:hAnsi="Aptos"/>
          <w:color w:val="000000"/>
          <w:sz w:val="22"/>
          <w:szCs w:val="22"/>
        </w:rPr>
        <w:t>;</w:t>
      </w:r>
      <w:r w:rsidRPr="00075AC5">
        <w:rPr>
          <w:rFonts w:ascii="Aptos" w:hAnsi="Aptos"/>
          <w:color w:val="000000"/>
          <w:sz w:val="22"/>
          <w:szCs w:val="22"/>
        </w:rPr>
        <w:t xml:space="preserve"> but then when they take on their own class, they're feeling overwhelmed by the experiences of such a diversity of needs across the classroom. Or perhaps they've experienced </w:t>
      </w:r>
      <w:r w:rsidRPr="00075AC5">
        <w:rPr>
          <w:rFonts w:ascii="Aptos" w:hAnsi="Aptos"/>
          <w:sz w:val="22"/>
          <w:szCs w:val="22"/>
        </w:rPr>
        <w:t>sup</w:t>
      </w:r>
      <w:r w:rsidRPr="00075AC5">
        <w:rPr>
          <w:rFonts w:ascii="Aptos" w:hAnsi="Aptos"/>
          <w:color w:val="000000"/>
          <w:sz w:val="22"/>
          <w:szCs w:val="22"/>
        </w:rPr>
        <w:t xml:space="preserve">port of mentors who themselves </w:t>
      </w:r>
      <w:r w:rsidRPr="00075AC5">
        <w:rPr>
          <w:rFonts w:ascii="Aptos" w:hAnsi="Aptos"/>
          <w:sz w:val="22"/>
          <w:szCs w:val="22"/>
        </w:rPr>
        <w:t xml:space="preserve">didn’t </w:t>
      </w:r>
      <w:r w:rsidRPr="00075AC5">
        <w:rPr>
          <w:rFonts w:ascii="Aptos" w:hAnsi="Aptos"/>
          <w:color w:val="000000"/>
          <w:sz w:val="22"/>
          <w:szCs w:val="22"/>
        </w:rPr>
        <w:t xml:space="preserve">feel very confident. </w:t>
      </w:r>
    </w:p>
    <w:p w14:paraId="2A0AC5E1" w14:textId="77777777" w:rsidR="00F576BD" w:rsidRPr="00075AC5" w:rsidRDefault="00F576BD" w:rsidP="00F576BD">
      <w:pPr>
        <w:rPr>
          <w:rFonts w:ascii="Aptos" w:hAnsi="Aptos"/>
          <w:sz w:val="22"/>
          <w:szCs w:val="22"/>
        </w:rPr>
      </w:pPr>
      <w:r w:rsidRPr="00075AC5">
        <w:rPr>
          <w:rFonts w:ascii="Aptos" w:hAnsi="Aptos"/>
          <w:color w:val="000000"/>
          <w:sz w:val="22"/>
          <w:szCs w:val="22"/>
        </w:rPr>
        <w:lastRenderedPageBreak/>
        <w:t xml:space="preserve">So how do we enable that shift? How do we make sure that we're thinking about inclusive pedagogy and not simply adaptive teaching? How do we enable training teachers to move away from just thinking about inclusion and </w:t>
      </w:r>
      <w:r>
        <w:rPr>
          <w:rFonts w:ascii="Aptos" w:hAnsi="Aptos"/>
          <w:color w:val="000000"/>
          <w:sz w:val="22"/>
          <w:szCs w:val="22"/>
        </w:rPr>
        <w:t>SEND</w:t>
      </w:r>
      <w:r w:rsidRPr="00075AC5">
        <w:rPr>
          <w:rFonts w:ascii="Aptos" w:hAnsi="Aptos"/>
          <w:color w:val="000000"/>
          <w:sz w:val="22"/>
          <w:szCs w:val="22"/>
        </w:rPr>
        <w:t xml:space="preserve"> in relation to </w:t>
      </w:r>
      <w:r>
        <w:rPr>
          <w:rFonts w:ascii="Aptos" w:hAnsi="Aptos"/>
          <w:color w:val="000000"/>
          <w:sz w:val="22"/>
          <w:szCs w:val="22"/>
        </w:rPr>
        <w:t>T</w:t>
      </w:r>
      <w:r w:rsidRPr="00075AC5">
        <w:rPr>
          <w:rFonts w:ascii="Aptos" w:hAnsi="Aptos"/>
          <w:color w:val="000000"/>
          <w:sz w:val="22"/>
          <w:szCs w:val="22"/>
        </w:rPr>
        <w:t xml:space="preserve">eacher </w:t>
      </w:r>
      <w:r>
        <w:rPr>
          <w:rFonts w:ascii="Aptos" w:hAnsi="Aptos"/>
          <w:color w:val="000000"/>
          <w:sz w:val="22"/>
          <w:szCs w:val="22"/>
        </w:rPr>
        <w:t>S</w:t>
      </w:r>
      <w:r w:rsidRPr="00075AC5">
        <w:rPr>
          <w:rFonts w:ascii="Aptos" w:hAnsi="Aptos"/>
          <w:color w:val="000000"/>
          <w:sz w:val="22"/>
          <w:szCs w:val="22"/>
        </w:rPr>
        <w:t>tandard 5</w:t>
      </w:r>
      <w:r>
        <w:rPr>
          <w:rFonts w:ascii="Aptos" w:hAnsi="Aptos"/>
          <w:color w:val="000000"/>
          <w:sz w:val="22"/>
          <w:szCs w:val="22"/>
        </w:rPr>
        <w:t>,</w:t>
      </w:r>
      <w:r w:rsidRPr="00075AC5">
        <w:rPr>
          <w:rFonts w:ascii="Aptos" w:hAnsi="Aptos"/>
          <w:color w:val="000000"/>
          <w:sz w:val="22"/>
          <w:szCs w:val="22"/>
        </w:rPr>
        <w:t xml:space="preserve"> </w:t>
      </w:r>
      <w:r>
        <w:rPr>
          <w:rFonts w:ascii="Aptos" w:hAnsi="Aptos"/>
          <w:color w:val="000000"/>
          <w:sz w:val="22"/>
          <w:szCs w:val="22"/>
        </w:rPr>
        <w:t>a</w:t>
      </w:r>
      <w:r w:rsidRPr="00075AC5">
        <w:rPr>
          <w:rFonts w:ascii="Aptos" w:hAnsi="Aptos"/>
          <w:color w:val="000000"/>
          <w:sz w:val="22"/>
          <w:szCs w:val="22"/>
        </w:rPr>
        <w:t xml:space="preserve">nd ensure that it's something we consider in relation to each of the </w:t>
      </w:r>
      <w:r>
        <w:rPr>
          <w:rFonts w:ascii="Aptos" w:hAnsi="Aptos"/>
          <w:color w:val="000000"/>
          <w:sz w:val="22"/>
          <w:szCs w:val="22"/>
        </w:rPr>
        <w:t>T</w:t>
      </w:r>
      <w:r w:rsidRPr="00075AC5">
        <w:rPr>
          <w:rFonts w:ascii="Aptos" w:hAnsi="Aptos"/>
          <w:color w:val="000000"/>
          <w:sz w:val="22"/>
          <w:szCs w:val="22"/>
        </w:rPr>
        <w:t>eacher</w:t>
      </w:r>
      <w:r>
        <w:rPr>
          <w:rFonts w:ascii="Aptos" w:hAnsi="Aptos"/>
          <w:color w:val="000000"/>
          <w:sz w:val="22"/>
          <w:szCs w:val="22"/>
        </w:rPr>
        <w:t>s’</w:t>
      </w:r>
      <w:r w:rsidRPr="00075AC5">
        <w:rPr>
          <w:rFonts w:ascii="Aptos" w:hAnsi="Aptos"/>
          <w:color w:val="000000"/>
          <w:sz w:val="22"/>
          <w:szCs w:val="22"/>
        </w:rPr>
        <w:t xml:space="preserve"> </w:t>
      </w:r>
      <w:r>
        <w:rPr>
          <w:rFonts w:ascii="Aptos" w:hAnsi="Aptos"/>
          <w:color w:val="000000"/>
          <w:sz w:val="22"/>
          <w:szCs w:val="22"/>
        </w:rPr>
        <w:t>S</w:t>
      </w:r>
      <w:r w:rsidRPr="00075AC5">
        <w:rPr>
          <w:rFonts w:ascii="Aptos" w:hAnsi="Aptos"/>
          <w:color w:val="000000"/>
          <w:sz w:val="22"/>
          <w:szCs w:val="22"/>
        </w:rPr>
        <w:t>tandards</w:t>
      </w:r>
      <w:r>
        <w:rPr>
          <w:rFonts w:ascii="Aptos" w:hAnsi="Aptos"/>
          <w:color w:val="000000"/>
          <w:sz w:val="22"/>
          <w:szCs w:val="22"/>
        </w:rPr>
        <w:t>?</w:t>
      </w:r>
      <w:r w:rsidRPr="00075AC5">
        <w:rPr>
          <w:rFonts w:ascii="Aptos" w:hAnsi="Aptos"/>
          <w:color w:val="000000"/>
          <w:sz w:val="22"/>
          <w:szCs w:val="22"/>
        </w:rPr>
        <w:t xml:space="preserve"> And I'd </w:t>
      </w:r>
      <w:r>
        <w:rPr>
          <w:rFonts w:ascii="Aptos" w:hAnsi="Aptos"/>
          <w:color w:val="000000"/>
          <w:sz w:val="22"/>
          <w:szCs w:val="22"/>
        </w:rPr>
        <w:t>ad</w:t>
      </w:r>
      <w:r w:rsidRPr="00075AC5">
        <w:rPr>
          <w:rFonts w:ascii="Aptos" w:hAnsi="Aptos"/>
          <w:color w:val="000000"/>
          <w:sz w:val="22"/>
          <w:szCs w:val="22"/>
        </w:rPr>
        <w:t xml:space="preserve">vocate that in particular, we think about the power and the importance of formative assessment in driving inclusive teaching. And perhaps that when we go back to our review of the </w:t>
      </w:r>
      <w:r>
        <w:rPr>
          <w:rFonts w:ascii="Aptos" w:hAnsi="Aptos"/>
          <w:color w:val="000000"/>
          <w:sz w:val="22"/>
          <w:szCs w:val="22"/>
        </w:rPr>
        <w:t>T</w:t>
      </w:r>
      <w:r w:rsidRPr="00075AC5">
        <w:rPr>
          <w:rFonts w:ascii="Aptos" w:hAnsi="Aptos"/>
          <w:color w:val="000000"/>
          <w:sz w:val="22"/>
          <w:szCs w:val="22"/>
        </w:rPr>
        <w:t>eacher</w:t>
      </w:r>
      <w:r>
        <w:rPr>
          <w:rFonts w:ascii="Aptos" w:hAnsi="Aptos"/>
          <w:color w:val="000000"/>
          <w:sz w:val="22"/>
          <w:szCs w:val="22"/>
        </w:rPr>
        <w:t>s’</w:t>
      </w:r>
      <w:r w:rsidRPr="00075AC5">
        <w:rPr>
          <w:rFonts w:ascii="Aptos" w:hAnsi="Aptos"/>
          <w:color w:val="000000"/>
          <w:sz w:val="22"/>
          <w:szCs w:val="22"/>
        </w:rPr>
        <w:t xml:space="preserve"> </w:t>
      </w:r>
      <w:r>
        <w:rPr>
          <w:rFonts w:ascii="Aptos" w:hAnsi="Aptos"/>
          <w:color w:val="000000"/>
          <w:sz w:val="22"/>
          <w:szCs w:val="22"/>
        </w:rPr>
        <w:t>S</w:t>
      </w:r>
      <w:r w:rsidRPr="00075AC5">
        <w:rPr>
          <w:rFonts w:ascii="Aptos" w:hAnsi="Aptos"/>
          <w:color w:val="000000"/>
          <w:sz w:val="22"/>
          <w:szCs w:val="22"/>
        </w:rPr>
        <w:t>tandards in relation to the ITTECF we think harder about</w:t>
      </w:r>
      <w:r w:rsidRPr="00075AC5">
        <w:rPr>
          <w:rFonts w:ascii="Aptos" w:hAnsi="Aptos"/>
          <w:sz w:val="22"/>
          <w:szCs w:val="22"/>
        </w:rPr>
        <w:t xml:space="preserve"> Teacher Standard 6</w:t>
      </w:r>
      <w:r w:rsidRPr="00075AC5">
        <w:rPr>
          <w:rFonts w:ascii="Aptos" w:hAnsi="Aptos"/>
          <w:color w:val="000000"/>
          <w:sz w:val="22"/>
          <w:szCs w:val="22"/>
        </w:rPr>
        <w:t xml:space="preserve">. Assessment can drive inclusive teaching. </w:t>
      </w:r>
    </w:p>
    <w:p w14:paraId="7A561011" w14:textId="77777777" w:rsidR="00F576BD" w:rsidRPr="00075AC5" w:rsidRDefault="00F576BD" w:rsidP="00F576BD">
      <w:pPr>
        <w:rPr>
          <w:rFonts w:ascii="Aptos" w:hAnsi="Aptos"/>
          <w:sz w:val="22"/>
          <w:szCs w:val="22"/>
        </w:rPr>
      </w:pPr>
      <w:r w:rsidRPr="00075AC5">
        <w:rPr>
          <w:rFonts w:ascii="Aptos" w:hAnsi="Aptos"/>
          <w:color w:val="000000"/>
          <w:sz w:val="22"/>
          <w:szCs w:val="22"/>
        </w:rPr>
        <w:t>So</w:t>
      </w:r>
      <w:r>
        <w:rPr>
          <w:rFonts w:ascii="Aptos" w:hAnsi="Aptos"/>
          <w:color w:val="000000"/>
          <w:sz w:val="22"/>
          <w:szCs w:val="22"/>
        </w:rPr>
        <w:t>,</w:t>
      </w:r>
      <w:r w:rsidRPr="00075AC5">
        <w:rPr>
          <w:rFonts w:ascii="Aptos" w:hAnsi="Aptos"/>
          <w:color w:val="000000"/>
          <w:sz w:val="22"/>
          <w:szCs w:val="22"/>
        </w:rPr>
        <w:t xml:space="preserve"> there are just some provocations to consider in the </w:t>
      </w:r>
      <w:r w:rsidRPr="00075AC5">
        <w:rPr>
          <w:rFonts w:ascii="Aptos" w:hAnsi="Aptos"/>
          <w:sz w:val="22"/>
          <w:szCs w:val="22"/>
        </w:rPr>
        <w:t>first</w:t>
      </w:r>
      <w:r w:rsidRPr="00075AC5">
        <w:rPr>
          <w:rFonts w:ascii="Aptos" w:hAnsi="Aptos"/>
          <w:color w:val="000000"/>
          <w:sz w:val="22"/>
          <w:szCs w:val="22"/>
        </w:rPr>
        <w:t xml:space="preserve"> instance</w:t>
      </w:r>
      <w:r>
        <w:rPr>
          <w:rFonts w:ascii="Aptos" w:hAnsi="Aptos"/>
          <w:color w:val="000000"/>
          <w:sz w:val="22"/>
          <w:szCs w:val="22"/>
        </w:rPr>
        <w:t>.</w:t>
      </w:r>
      <w:r w:rsidRPr="00075AC5">
        <w:rPr>
          <w:rFonts w:ascii="Aptos" w:hAnsi="Aptos"/>
          <w:color w:val="000000"/>
          <w:sz w:val="22"/>
          <w:szCs w:val="22"/>
        </w:rPr>
        <w:t> I'm really excited to hear more about the conversations throughout the day at the conference. Thank you.</w:t>
      </w:r>
    </w:p>
    <w:p w14:paraId="52B35961" w14:textId="77777777" w:rsidR="00F576BD" w:rsidRPr="00401080" w:rsidRDefault="00F576BD" w:rsidP="00F576BD">
      <w:pPr>
        <w:rPr>
          <w:sz w:val="22"/>
          <w:szCs w:val="22"/>
        </w:rPr>
      </w:pPr>
    </w:p>
    <w:p w14:paraId="4578CC28" w14:textId="77777777" w:rsidR="00F576BD" w:rsidRPr="00401080" w:rsidRDefault="00F576BD" w:rsidP="00F576BD">
      <w:pPr>
        <w:rPr>
          <w:rFonts w:eastAsia="Times New Roman" w:cs="Segoe UI"/>
          <w:color w:val="232330"/>
          <w:kern w:val="0"/>
          <w:sz w:val="22"/>
          <w:szCs w:val="22"/>
          <w:lang w:eastAsia="en-GB"/>
          <w14:ligatures w14:val="none"/>
        </w:rPr>
      </w:pPr>
    </w:p>
    <w:p w14:paraId="46427927" w14:textId="77777777" w:rsidR="00F576BD" w:rsidRDefault="00F576BD"/>
    <w:sectPr w:rsidR="00F576BD" w:rsidSect="00F576BD">
      <w:footerReference w:type="default" r:id="rId4"/>
      <w:pgSz w:w="11906" w:h="16838"/>
      <w:pgMar w:top="1134" w:right="1304"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606915"/>
      <w:docPartObj>
        <w:docPartGallery w:val="Page Numbers (Bottom of Page)"/>
        <w:docPartUnique/>
      </w:docPartObj>
    </w:sdtPr>
    <w:sdtEndPr>
      <w:rPr>
        <w:noProof/>
      </w:rPr>
    </w:sdtEndPr>
    <w:sdtContent>
      <w:p w14:paraId="463D0647" w14:textId="77777777" w:rsidR="00F576BD" w:rsidRDefault="00F576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6B347" w14:textId="77777777" w:rsidR="00F576BD" w:rsidRDefault="00F576B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6BD"/>
    <w:rsid w:val="00105152"/>
    <w:rsid w:val="004D3F85"/>
    <w:rsid w:val="00F57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5CE7"/>
  <w15:chartTrackingRefBased/>
  <w15:docId w15:val="{47871D04-79B2-4475-8C85-EBFFD32C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6BD"/>
  </w:style>
  <w:style w:type="paragraph" w:styleId="Heading1">
    <w:name w:val="heading 1"/>
    <w:basedOn w:val="Normal"/>
    <w:next w:val="Normal"/>
    <w:link w:val="Heading1Char"/>
    <w:uiPriority w:val="9"/>
    <w:qFormat/>
    <w:rsid w:val="00F576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6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6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6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6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6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6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6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6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6BD"/>
    <w:rPr>
      <w:rFonts w:eastAsiaTheme="majorEastAsia" w:cstheme="majorBidi"/>
      <w:color w:val="272727" w:themeColor="text1" w:themeTint="D8"/>
    </w:rPr>
  </w:style>
  <w:style w:type="paragraph" w:styleId="Title">
    <w:name w:val="Title"/>
    <w:basedOn w:val="Normal"/>
    <w:next w:val="Normal"/>
    <w:link w:val="TitleChar"/>
    <w:uiPriority w:val="10"/>
    <w:qFormat/>
    <w:rsid w:val="00F57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6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6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6BD"/>
    <w:pPr>
      <w:spacing w:before="160"/>
      <w:jc w:val="center"/>
    </w:pPr>
    <w:rPr>
      <w:i/>
      <w:iCs/>
      <w:color w:val="404040" w:themeColor="text1" w:themeTint="BF"/>
    </w:rPr>
  </w:style>
  <w:style w:type="character" w:customStyle="1" w:styleId="QuoteChar">
    <w:name w:val="Quote Char"/>
    <w:basedOn w:val="DefaultParagraphFont"/>
    <w:link w:val="Quote"/>
    <w:uiPriority w:val="29"/>
    <w:rsid w:val="00F576BD"/>
    <w:rPr>
      <w:i/>
      <w:iCs/>
      <w:color w:val="404040" w:themeColor="text1" w:themeTint="BF"/>
    </w:rPr>
  </w:style>
  <w:style w:type="paragraph" w:styleId="ListParagraph">
    <w:name w:val="List Paragraph"/>
    <w:basedOn w:val="Normal"/>
    <w:uiPriority w:val="34"/>
    <w:qFormat/>
    <w:rsid w:val="00F576BD"/>
    <w:pPr>
      <w:ind w:left="720"/>
      <w:contextualSpacing/>
    </w:pPr>
  </w:style>
  <w:style w:type="character" w:styleId="IntenseEmphasis">
    <w:name w:val="Intense Emphasis"/>
    <w:basedOn w:val="DefaultParagraphFont"/>
    <w:uiPriority w:val="21"/>
    <w:qFormat/>
    <w:rsid w:val="00F576BD"/>
    <w:rPr>
      <w:i/>
      <w:iCs/>
      <w:color w:val="0F4761" w:themeColor="accent1" w:themeShade="BF"/>
    </w:rPr>
  </w:style>
  <w:style w:type="paragraph" w:styleId="IntenseQuote">
    <w:name w:val="Intense Quote"/>
    <w:basedOn w:val="Normal"/>
    <w:next w:val="Normal"/>
    <w:link w:val="IntenseQuoteChar"/>
    <w:uiPriority w:val="30"/>
    <w:qFormat/>
    <w:rsid w:val="00F57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6BD"/>
    <w:rPr>
      <w:i/>
      <w:iCs/>
      <w:color w:val="0F4761" w:themeColor="accent1" w:themeShade="BF"/>
    </w:rPr>
  </w:style>
  <w:style w:type="character" w:styleId="IntenseReference">
    <w:name w:val="Intense Reference"/>
    <w:basedOn w:val="DefaultParagraphFont"/>
    <w:uiPriority w:val="32"/>
    <w:qFormat/>
    <w:rsid w:val="00F576BD"/>
    <w:rPr>
      <w:b/>
      <w:bCs/>
      <w:smallCaps/>
      <w:color w:val="0F4761" w:themeColor="accent1" w:themeShade="BF"/>
      <w:spacing w:val="5"/>
    </w:rPr>
  </w:style>
  <w:style w:type="paragraph" w:styleId="Footer">
    <w:name w:val="footer"/>
    <w:basedOn w:val="Normal"/>
    <w:link w:val="FooterChar"/>
    <w:uiPriority w:val="99"/>
    <w:unhideWhenUsed/>
    <w:rsid w:val="00F57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632</Words>
  <Characters>3603</Characters>
  <Application>Microsoft Office Word</Application>
  <DocSecurity>0</DocSecurity>
  <Lines>30</Lines>
  <Paragraphs>8</Paragraphs>
  <ScaleCrop>false</ScaleCrop>
  <Company>University College London</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Daly</dc:creator>
  <cp:keywords/>
  <dc:description/>
  <cp:lastModifiedBy>Caroline Daly</cp:lastModifiedBy>
  <cp:revision>2</cp:revision>
  <dcterms:created xsi:type="dcterms:W3CDTF">2026-06-26T10:37:00Z</dcterms:created>
  <dcterms:modified xsi:type="dcterms:W3CDTF">2026-06-26T10:42:00Z</dcterms:modified>
</cp:coreProperties>
</file>