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8DCAC" w14:textId="77777777" w:rsidR="00BB5D5C" w:rsidRPr="00BB5D5C" w:rsidRDefault="00BB5D5C" w:rsidP="00BB5D5C">
      <w:pPr>
        <w:keepNext/>
        <w:keepLines/>
        <w:spacing w:after="0"/>
        <w:outlineLvl w:val="0"/>
        <w:rPr>
          <w:rFonts w:asciiTheme="majorHAnsi" w:eastAsiaTheme="majorEastAsia" w:hAnsiTheme="majorHAnsi" w:cstheme="majorBidi"/>
          <w:color w:val="0F4761" w:themeColor="accent1" w:themeShade="BF"/>
          <w:sz w:val="28"/>
          <w:szCs w:val="28"/>
        </w:rPr>
      </w:pPr>
      <w:r w:rsidRPr="00BB5D5C">
        <w:rPr>
          <w:rFonts w:asciiTheme="majorHAnsi" w:eastAsiaTheme="majorEastAsia" w:hAnsiTheme="majorHAnsi" w:cstheme="majorBidi"/>
          <w:color w:val="0F4761" w:themeColor="accent1" w:themeShade="BF"/>
          <w:sz w:val="28"/>
          <w:szCs w:val="28"/>
        </w:rPr>
        <w:t>Decentring the ‘resilient teacher’</w:t>
      </w:r>
    </w:p>
    <w:p w14:paraId="3936A294" w14:textId="77777777" w:rsidR="00BB5D5C" w:rsidRPr="00BB5D5C" w:rsidRDefault="00BB5D5C" w:rsidP="00BB5D5C">
      <w:pPr>
        <w:spacing w:after="0"/>
        <w:rPr>
          <w:sz w:val="22"/>
          <w:szCs w:val="22"/>
        </w:rPr>
      </w:pPr>
      <w:r w:rsidRPr="00BB5D5C">
        <w:rPr>
          <w:sz w:val="22"/>
          <w:szCs w:val="22"/>
        </w:rPr>
        <w:t>Dr Steph Ainsworth, Manchester Metropolitan University</w:t>
      </w:r>
    </w:p>
    <w:p w14:paraId="0007D76B" w14:textId="77777777" w:rsidR="00BB5D5C" w:rsidRPr="00BB5D5C" w:rsidRDefault="00BB5D5C" w:rsidP="00BB5D5C">
      <w:pPr>
        <w:spacing w:after="0"/>
      </w:pPr>
      <w:hyperlink r:id="rId4" w:history="1">
        <w:r w:rsidRPr="00BB5D5C">
          <w:rPr>
            <w:color w:val="467886" w:themeColor="hyperlink"/>
            <w:sz w:val="22"/>
            <w:szCs w:val="22"/>
            <w:u w:val="single"/>
          </w:rPr>
          <w:t>https://www.mmu.ac.uk/staff/profile/dr-steph-ainsworth</w:t>
        </w:r>
      </w:hyperlink>
    </w:p>
    <w:p w14:paraId="47DFDA92" w14:textId="77777777" w:rsidR="00BB5D5C" w:rsidRPr="00BB5D5C" w:rsidRDefault="00BB5D5C" w:rsidP="00BB5D5C">
      <w:pPr>
        <w:spacing w:after="0"/>
        <w:rPr>
          <w:sz w:val="22"/>
          <w:szCs w:val="22"/>
        </w:rPr>
      </w:pPr>
      <w:r w:rsidRPr="00BB5D5C">
        <w:rPr>
          <w:sz w:val="22"/>
          <w:szCs w:val="22"/>
        </w:rPr>
        <w:t xml:space="preserve">Audio recording: </w:t>
      </w:r>
      <w:hyperlink r:id="rId5" w:history="1">
        <w:r w:rsidRPr="00BB5D5C">
          <w:rPr>
            <w:noProof/>
            <w:color w:val="0000FF"/>
            <w:sz w:val="22"/>
            <w:szCs w:val="22"/>
            <w:shd w:val="clear" w:color="auto" w:fill="F3F2F1"/>
          </w:rPr>
          <w:drawing>
            <wp:inline distT="0" distB="0" distL="0" distR="0" wp14:anchorId="15132C80" wp14:editId="1B9EF14F">
              <wp:extent cx="152400" cy="152400"/>
              <wp:effectExtent l="0" t="0" r="0" b="0"/>
              <wp:docPr id="1318878863" name="Picture 1" descr="​mp4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4 icon"/>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B5D5C">
          <w:rPr>
            <w:color w:val="0000FF"/>
            <w:sz w:val="22"/>
            <w:szCs w:val="22"/>
            <w:u w:val="single"/>
            <w:shd w:val="clear" w:color="auto" w:fill="F3F2F1"/>
          </w:rPr>
          <w:t> Audio Steph Ainsworth for UCL event.mp4</w:t>
        </w:r>
      </w:hyperlink>
    </w:p>
    <w:p w14:paraId="71D0DD71" w14:textId="77777777" w:rsidR="00BB5D5C" w:rsidRPr="00BB5D5C" w:rsidRDefault="00BB5D5C" w:rsidP="00BB5D5C">
      <w:pPr>
        <w:spacing w:after="0"/>
        <w:rPr>
          <w:sz w:val="22"/>
          <w:szCs w:val="22"/>
        </w:rPr>
      </w:pPr>
    </w:p>
    <w:p w14:paraId="74CC2DAF" w14:textId="77777777" w:rsidR="00BB5D5C" w:rsidRPr="00BB5D5C" w:rsidRDefault="00BB5D5C" w:rsidP="00BB5D5C">
      <w:pPr>
        <w:spacing w:after="0"/>
        <w:rPr>
          <w:sz w:val="22"/>
          <w:szCs w:val="22"/>
        </w:rPr>
      </w:pPr>
    </w:p>
    <w:p w14:paraId="580199AB" w14:textId="77777777" w:rsidR="00BB5D5C" w:rsidRPr="00BB5D5C" w:rsidRDefault="00BB5D5C" w:rsidP="00BB5D5C">
      <w:pPr>
        <w:spacing w:after="0"/>
        <w:rPr>
          <w:sz w:val="22"/>
          <w:szCs w:val="22"/>
        </w:rPr>
      </w:pPr>
      <w:r w:rsidRPr="00BB5D5C">
        <w:rPr>
          <w:sz w:val="22"/>
          <w:szCs w:val="22"/>
        </w:rPr>
        <w:t xml:space="preserve">Hello, I’m Steph Ainsworth, a researcher and teacher educator at Manchester Met University. I’m going to share with you some findings from a project investigating teacher resilience, funded by the Economic and Social Research Council. The project involved a survey completed by nearly 3000 teachers in England to measure factors which influence teacher resilience followed by case study research with case study schools – 3 secondary and 5 </w:t>
      </w:r>
      <w:proofErr w:type="gramStart"/>
      <w:r w:rsidRPr="00BB5D5C">
        <w:rPr>
          <w:sz w:val="22"/>
          <w:szCs w:val="22"/>
        </w:rPr>
        <w:t>primary</w:t>
      </w:r>
      <w:proofErr w:type="gramEnd"/>
      <w:r w:rsidRPr="00BB5D5C">
        <w:rPr>
          <w:sz w:val="22"/>
          <w:szCs w:val="22"/>
        </w:rPr>
        <w:t>.</w:t>
      </w:r>
    </w:p>
    <w:p w14:paraId="50712224" w14:textId="77777777" w:rsidR="00BB5D5C" w:rsidRPr="00BB5D5C" w:rsidRDefault="00BB5D5C" w:rsidP="00BB5D5C">
      <w:pPr>
        <w:spacing w:after="0"/>
        <w:rPr>
          <w:sz w:val="22"/>
          <w:szCs w:val="22"/>
        </w:rPr>
      </w:pPr>
    </w:p>
    <w:p w14:paraId="1F37A3EF" w14:textId="77777777" w:rsidR="00BB5D5C" w:rsidRPr="00BB5D5C" w:rsidRDefault="00BB5D5C" w:rsidP="00BB5D5C">
      <w:pPr>
        <w:rPr>
          <w:sz w:val="22"/>
          <w:szCs w:val="22"/>
        </w:rPr>
      </w:pPr>
      <w:r w:rsidRPr="00BB5D5C">
        <w:rPr>
          <w:sz w:val="22"/>
          <w:szCs w:val="22"/>
        </w:rPr>
        <w:t xml:space="preserve">Here is a very </w:t>
      </w:r>
      <w:proofErr w:type="gramStart"/>
      <w:r w:rsidRPr="00BB5D5C">
        <w:rPr>
          <w:sz w:val="22"/>
          <w:szCs w:val="22"/>
        </w:rPr>
        <w:t>brief summary</w:t>
      </w:r>
      <w:proofErr w:type="gramEnd"/>
      <w:r w:rsidRPr="00BB5D5C">
        <w:rPr>
          <w:sz w:val="22"/>
          <w:szCs w:val="22"/>
        </w:rPr>
        <w:t xml:space="preserve"> of the research findings:</w:t>
      </w:r>
    </w:p>
    <w:p w14:paraId="3498CE08" w14:textId="77777777" w:rsidR="00BB5D5C" w:rsidRPr="00BB5D5C" w:rsidRDefault="00BB5D5C" w:rsidP="00BB5D5C">
      <w:pPr>
        <w:rPr>
          <w:sz w:val="22"/>
          <w:szCs w:val="22"/>
        </w:rPr>
      </w:pPr>
      <w:r w:rsidRPr="00BB5D5C">
        <w:rPr>
          <w:sz w:val="22"/>
          <w:szCs w:val="22"/>
        </w:rPr>
        <w:t xml:space="preserve">The survey suggested that which factors are most important for teacher resilience depends on which resilience outcome you are targeting. It suggests that individual-level factors like self-care and emotional intelligence might be more important for wellbeing, but school-level factors like leadership practices and school culture might be more important for job satisfaction and burnout. Interestingly, self-esteem and workload were found to be particularly important for all three resilience outcomes. </w:t>
      </w:r>
    </w:p>
    <w:p w14:paraId="6524EA50" w14:textId="77777777" w:rsidR="00BB5D5C" w:rsidRPr="00BB5D5C" w:rsidRDefault="00BB5D5C" w:rsidP="00BB5D5C">
      <w:pPr>
        <w:rPr>
          <w:sz w:val="22"/>
          <w:szCs w:val="22"/>
        </w:rPr>
      </w:pPr>
      <w:r w:rsidRPr="00BB5D5C">
        <w:rPr>
          <w:sz w:val="22"/>
          <w:szCs w:val="22"/>
        </w:rPr>
        <w:t xml:space="preserve">These results suggest that we need a more balanced approach to supporting teacher resilience that moves beyond narrow wellbeing initiatives that focus only on individual coping strategies, mindfulness etc to also explore ways to promote job satisfaction and minimise the risk of burnout by creating environments that are more conducive to thriving. </w:t>
      </w:r>
    </w:p>
    <w:p w14:paraId="543DDDFF" w14:textId="77777777" w:rsidR="00BB5D5C" w:rsidRPr="00BB5D5C" w:rsidRDefault="00BB5D5C" w:rsidP="00BB5D5C">
      <w:pPr>
        <w:rPr>
          <w:sz w:val="22"/>
          <w:szCs w:val="22"/>
        </w:rPr>
      </w:pPr>
      <w:r w:rsidRPr="00BB5D5C">
        <w:rPr>
          <w:sz w:val="22"/>
          <w:szCs w:val="22"/>
        </w:rPr>
        <w:t xml:space="preserve">In the case study aspect of the research, we explored with schools the possibilities for adopting a holistic approach to promoting teacher resilience shaped by the needs of the teachers and the contextual challenges in each school. </w:t>
      </w:r>
    </w:p>
    <w:p w14:paraId="647A5ECB" w14:textId="77777777" w:rsidR="00BB5D5C" w:rsidRPr="00BB5D5C" w:rsidRDefault="00BB5D5C" w:rsidP="00BB5D5C">
      <w:pPr>
        <w:rPr>
          <w:sz w:val="22"/>
          <w:szCs w:val="22"/>
        </w:rPr>
      </w:pPr>
      <w:r w:rsidRPr="00BB5D5C">
        <w:rPr>
          <w:sz w:val="22"/>
          <w:szCs w:val="22"/>
        </w:rPr>
        <w:t xml:space="preserve">Two strands of action were found to be particularly important for promoting teacher resilience at the school level: approaches that foster self-determination and approaches to ‘working smart’. By self-determination we mean a sense of feeling connected to your work, feeling effective in your work and feeling in control of your work. If you are interested in finding out more, we have just published </w:t>
      </w:r>
      <w:hyperlink r:id="rId8" w:history="1">
        <w:r w:rsidRPr="00BB5D5C">
          <w:rPr>
            <w:color w:val="467886" w:themeColor="hyperlink"/>
            <w:sz w:val="22"/>
            <w:szCs w:val="22"/>
            <w:u w:val="single"/>
          </w:rPr>
          <w:t>an article in BERJ</w:t>
        </w:r>
      </w:hyperlink>
      <w:r w:rsidRPr="00BB5D5C">
        <w:rPr>
          <w:sz w:val="22"/>
          <w:szCs w:val="22"/>
        </w:rPr>
        <w:t xml:space="preserve"> and a short overview has been included in </w:t>
      </w:r>
      <w:hyperlink r:id="rId9" w:history="1">
        <w:r w:rsidRPr="00BB5D5C">
          <w:rPr>
            <w:color w:val="467886" w:themeColor="hyperlink"/>
            <w:sz w:val="22"/>
            <w:szCs w:val="22"/>
            <w:u w:val="single"/>
          </w:rPr>
          <w:t>School Management Plus</w:t>
        </w:r>
      </w:hyperlink>
      <w:r w:rsidRPr="00BB5D5C">
        <w:rPr>
          <w:sz w:val="22"/>
          <w:szCs w:val="22"/>
        </w:rPr>
        <w:t>.</w:t>
      </w:r>
    </w:p>
    <w:p w14:paraId="459385CF" w14:textId="77777777" w:rsidR="00BB5D5C" w:rsidRPr="00BB5D5C" w:rsidRDefault="00BB5D5C" w:rsidP="00BB5D5C">
      <w:pPr>
        <w:rPr>
          <w:sz w:val="22"/>
          <w:szCs w:val="22"/>
        </w:rPr>
      </w:pPr>
      <w:r w:rsidRPr="00BB5D5C">
        <w:rPr>
          <w:sz w:val="22"/>
          <w:szCs w:val="22"/>
        </w:rPr>
        <w:t xml:space="preserve">One of the key outputs of this research is a freely available interactive </w:t>
      </w:r>
      <w:hyperlink r:id="rId10" w:history="1">
        <w:r w:rsidRPr="00BB5D5C">
          <w:rPr>
            <w:color w:val="467886" w:themeColor="hyperlink"/>
            <w:sz w:val="22"/>
            <w:szCs w:val="22"/>
            <w:u w:val="single"/>
          </w:rPr>
          <w:t>teacher resilience toolkit</w:t>
        </w:r>
      </w:hyperlink>
      <w:r w:rsidRPr="00BB5D5C">
        <w:rPr>
          <w:sz w:val="22"/>
          <w:szCs w:val="22"/>
        </w:rPr>
        <w:t xml:space="preserve"> which is shaped by these findings. The toolkit is shaped by the research findings and is designed to be used as a reflection tool for teachers, student teachers, school leaders and other stakeholders. </w:t>
      </w:r>
    </w:p>
    <w:p w14:paraId="47813DE6" w14:textId="77777777" w:rsidR="00BB5D5C" w:rsidRPr="00BB5D5C" w:rsidRDefault="00BB5D5C" w:rsidP="00BB5D5C">
      <w:pPr>
        <w:rPr>
          <w:sz w:val="22"/>
          <w:szCs w:val="22"/>
        </w:rPr>
      </w:pPr>
      <w:r w:rsidRPr="00BB5D5C">
        <w:rPr>
          <w:sz w:val="22"/>
          <w:szCs w:val="22"/>
        </w:rPr>
        <w:t>The toolkit can be used by student teachers independently as each module acts like a mini self-study course. We have also included a guide for teacher educators on how the toolkit might be embedded into BA and PGCE programmes. The beta version of this is now live, with more content to be added over the next few weeks, including downloadable lectures/workshops to use with student teachers. If you would like to take a look, google MMU teacher resilience toolkit. When you access one of the modules, it will ask for your email address so we can inform you about new content.</w:t>
      </w:r>
    </w:p>
    <w:p w14:paraId="7A62D185" w14:textId="650D313C" w:rsidR="00BB5D5C" w:rsidRDefault="00BB5D5C"/>
    <w:sectPr w:rsidR="00BB5D5C" w:rsidSect="00BB5D5C">
      <w:pgSz w:w="11906" w:h="16838"/>
      <w:pgMar w:top="1134" w:right="1304" w:bottom="1134" w:left="130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C"/>
    <w:rsid w:val="00105152"/>
    <w:rsid w:val="00BB5D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382CF"/>
  <w15:chartTrackingRefBased/>
  <w15:docId w15:val="{89F9B8CE-5096-43CE-A0EB-68FB8A845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5D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D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D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5C"/>
    <w:rPr>
      <w:rFonts w:eastAsiaTheme="majorEastAsia" w:cstheme="majorBidi"/>
      <w:color w:val="272727" w:themeColor="text1" w:themeTint="D8"/>
    </w:rPr>
  </w:style>
  <w:style w:type="paragraph" w:styleId="Title">
    <w:name w:val="Title"/>
    <w:basedOn w:val="Normal"/>
    <w:next w:val="Normal"/>
    <w:link w:val="TitleChar"/>
    <w:uiPriority w:val="10"/>
    <w:qFormat/>
    <w:rsid w:val="00BB5D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D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D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5C"/>
    <w:pPr>
      <w:spacing w:before="160"/>
      <w:jc w:val="center"/>
    </w:pPr>
    <w:rPr>
      <w:i/>
      <w:iCs/>
      <w:color w:val="404040" w:themeColor="text1" w:themeTint="BF"/>
    </w:rPr>
  </w:style>
  <w:style w:type="character" w:customStyle="1" w:styleId="QuoteChar">
    <w:name w:val="Quote Char"/>
    <w:basedOn w:val="DefaultParagraphFont"/>
    <w:link w:val="Quote"/>
    <w:uiPriority w:val="29"/>
    <w:rsid w:val="00BB5D5C"/>
    <w:rPr>
      <w:i/>
      <w:iCs/>
      <w:color w:val="404040" w:themeColor="text1" w:themeTint="BF"/>
    </w:rPr>
  </w:style>
  <w:style w:type="paragraph" w:styleId="ListParagraph">
    <w:name w:val="List Paragraph"/>
    <w:basedOn w:val="Normal"/>
    <w:uiPriority w:val="34"/>
    <w:qFormat/>
    <w:rsid w:val="00BB5D5C"/>
    <w:pPr>
      <w:ind w:left="720"/>
      <w:contextualSpacing/>
    </w:pPr>
  </w:style>
  <w:style w:type="character" w:styleId="IntenseEmphasis">
    <w:name w:val="Intense Emphasis"/>
    <w:basedOn w:val="DefaultParagraphFont"/>
    <w:uiPriority w:val="21"/>
    <w:qFormat/>
    <w:rsid w:val="00BB5D5C"/>
    <w:rPr>
      <w:i/>
      <w:iCs/>
      <w:color w:val="0F4761" w:themeColor="accent1" w:themeShade="BF"/>
    </w:rPr>
  </w:style>
  <w:style w:type="paragraph" w:styleId="IntenseQuote">
    <w:name w:val="Intense Quote"/>
    <w:basedOn w:val="Normal"/>
    <w:next w:val="Normal"/>
    <w:link w:val="IntenseQuoteChar"/>
    <w:uiPriority w:val="30"/>
    <w:qFormat/>
    <w:rsid w:val="00BB5D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5C"/>
    <w:rPr>
      <w:i/>
      <w:iCs/>
      <w:color w:val="0F4761" w:themeColor="accent1" w:themeShade="BF"/>
    </w:rPr>
  </w:style>
  <w:style w:type="character" w:styleId="IntenseReference">
    <w:name w:val="Intense Reference"/>
    <w:basedOn w:val="DefaultParagraphFont"/>
    <w:uiPriority w:val="32"/>
    <w:qFormat/>
    <w:rsid w:val="00BB5D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ra-journals.onlinelibrary.wiley.com/doi/10.1002/berj.70198" TargetMode="External"/><Relationship Id="rId3" Type="http://schemas.openxmlformats.org/officeDocument/2006/relationships/webSettings" Target="webSettings.xml"/><Relationship Id="rId7" Type="http://schemas.openxmlformats.org/officeDocument/2006/relationships/image" Target="cid:image001.png@01DCEDC7.C296A68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stummuac-my.sharepoint.com/:v:/g/personal/55115155_ad_mmu_ac_uk/IQBcAOEK7zhZSY1V83oV6LomATxdXIPch6RM6i7gNzVS_uc?e=VLmb0i&amp;xsdata=MDV8MDJ8Y2Fyb2xpbmUuZGFseUB1Y2wuYWMudWt8ZGQxNjJkYmJiMzQ4NDhjNTZhYzcwOGRlYmJkNjhlMzN8MWZhZjg4ZmVhOTk4NGM1YjkzYzkyMTBhMTFkOWE1YzJ8MHwwfDYzOTE1NDcyNzM2MzE5MTA3NXxVbmtub3dufFRXRnBiR1pzYjNkOGV5SkZiWEIwZVUxaGNHa2lPblJ5ZFdVc0lsWWlPaUl3TGpBdU1EQXdNQ0lzSWxBaU9pSlhhVzR6TWlJc0lrRk9Jam9pVFdGcGJDSXNJbGRVSWpveWZRPT18MHx8fA%3d%3d&amp;sdata=Z0V0eXhTNEcvNHorSmZhdVdDUjZISThDc1RIYXJaQmlsUGtodlNEeXJycz0%3d" TargetMode="External"/><Relationship Id="rId10" Type="http://schemas.openxmlformats.org/officeDocument/2006/relationships/hyperlink" Target="https://teacherresilience.mmu.ac.uk/" TargetMode="External"/><Relationship Id="rId4" Type="http://schemas.openxmlformats.org/officeDocument/2006/relationships/hyperlink" Target="https://www.mmu.ac.uk/staff/profile/dr-steph-ainsworth" TargetMode="External"/><Relationship Id="rId9" Type="http://schemas.openxmlformats.org/officeDocument/2006/relationships/hyperlink" Target="https://www.schoolmanagementplus.com/wellbeing-students-staff/teacher-resilience-depends-on-system-wide-chan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601</Words>
  <Characters>3432</Characters>
  <Application>Microsoft Office Word</Application>
  <DocSecurity>0</DocSecurity>
  <Lines>28</Lines>
  <Paragraphs>8</Paragraphs>
  <ScaleCrop>false</ScaleCrop>
  <Company>University College London</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Daly</dc:creator>
  <cp:keywords/>
  <dc:description/>
  <cp:lastModifiedBy>Caroline Daly</cp:lastModifiedBy>
  <cp:revision>1</cp:revision>
  <dcterms:created xsi:type="dcterms:W3CDTF">2026-06-26T10:14:00Z</dcterms:created>
  <dcterms:modified xsi:type="dcterms:W3CDTF">2026-06-26T10:17:00Z</dcterms:modified>
</cp:coreProperties>
</file>