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9F0" w:rsidRDefault="00AB49F0" w:rsidP="001709AD">
      <w:pPr>
        <w:jc w:val="center"/>
        <w:rPr>
          <w:sz w:val="28"/>
          <w:szCs w:val="28"/>
        </w:rPr>
      </w:pPr>
      <w:bookmarkStart w:id="0" w:name="_GoBack"/>
      <w:bookmarkEnd w:id="0"/>
      <w:r w:rsidRPr="00250D13">
        <w:rPr>
          <w:noProof/>
          <w:sz w:val="48"/>
          <w:szCs w:val="48"/>
          <w:lang w:eastAsia="en-GB"/>
        </w:rPr>
        <w:drawing>
          <wp:anchor distT="0" distB="0" distL="114300" distR="114300" simplePos="0" relativeHeight="251667456" behindDoc="0" locked="0" layoutInCell="1" allowOverlap="1" wp14:anchorId="340F68D1" wp14:editId="4E34EE4B">
            <wp:simplePos x="0" y="0"/>
            <wp:positionH relativeFrom="column">
              <wp:posOffset>-419100</wp:posOffset>
            </wp:positionH>
            <wp:positionV relativeFrom="paragraph">
              <wp:posOffset>-90805</wp:posOffset>
            </wp:positionV>
            <wp:extent cx="1800860" cy="1464945"/>
            <wp:effectExtent l="0" t="0" r="8890" b="1905"/>
            <wp:wrapNone/>
            <wp:docPr id="5" name="Picture 5" descr="Q:\2016 - NEW COMMISSIONER FOLDER\Templates\Logos\NEW OPCC from 2016\OPCC logo CMYK 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2016 - NEW COMMISSIONER FOLDER\Templates\Logos\NEW OPCC from 2016\OPCC logo CMYK 50m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86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Pr="00151486">
        <w:rPr>
          <w:rFonts w:ascii="Calibri" w:hAnsi="Calibri"/>
          <w:b/>
          <w:noProof/>
          <w:color w:val="000000"/>
          <w:lang w:eastAsia="en-GB"/>
        </w:rPr>
        <w:drawing>
          <wp:inline distT="0" distB="0" distL="0" distR="0" wp14:anchorId="223A8EBD" wp14:editId="3B82A713">
            <wp:extent cx="853440" cy="13639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1363980"/>
                    </a:xfrm>
                    <a:prstGeom prst="rect">
                      <a:avLst/>
                    </a:prstGeom>
                    <a:noFill/>
                    <a:ln>
                      <a:noFill/>
                    </a:ln>
                  </pic:spPr>
                </pic:pic>
              </a:graphicData>
            </a:graphic>
          </wp:inline>
        </w:drawing>
      </w:r>
    </w:p>
    <w:p w:rsidR="00970CE5" w:rsidRPr="00AB49F0" w:rsidRDefault="001709AD" w:rsidP="001709AD">
      <w:pPr>
        <w:jc w:val="center"/>
        <w:rPr>
          <w:b/>
          <w:sz w:val="28"/>
          <w:szCs w:val="28"/>
        </w:rPr>
      </w:pPr>
      <w:r w:rsidRPr="00AB49F0">
        <w:rPr>
          <w:b/>
          <w:sz w:val="28"/>
          <w:szCs w:val="28"/>
        </w:rPr>
        <w:t>Joint Audit Committee</w:t>
      </w:r>
    </w:p>
    <w:p w:rsidR="001709AD" w:rsidRPr="001709AD" w:rsidRDefault="00A5327E" w:rsidP="001709AD">
      <w:pPr>
        <w:jc w:val="center"/>
        <w:rPr>
          <w:sz w:val="28"/>
          <w:szCs w:val="28"/>
        </w:rPr>
      </w:pPr>
      <w:r>
        <w:rPr>
          <w:sz w:val="28"/>
          <w:szCs w:val="28"/>
        </w:rPr>
        <w:t>29</w:t>
      </w:r>
      <w:r w:rsidR="00AB592A" w:rsidRPr="00AB592A">
        <w:rPr>
          <w:sz w:val="28"/>
          <w:szCs w:val="28"/>
          <w:vertAlign w:val="superscript"/>
        </w:rPr>
        <w:t>th</w:t>
      </w:r>
      <w:r w:rsidR="009B6875">
        <w:rPr>
          <w:sz w:val="28"/>
          <w:szCs w:val="28"/>
        </w:rPr>
        <w:t xml:space="preserve"> </w:t>
      </w:r>
      <w:r>
        <w:rPr>
          <w:sz w:val="28"/>
          <w:szCs w:val="28"/>
        </w:rPr>
        <w:t>October</w:t>
      </w:r>
      <w:r w:rsidR="00AB592A">
        <w:rPr>
          <w:sz w:val="28"/>
          <w:szCs w:val="28"/>
        </w:rPr>
        <w:t xml:space="preserve"> 2020</w:t>
      </w:r>
    </w:p>
    <w:tbl>
      <w:tblPr>
        <w:tblStyle w:val="TableGrid"/>
        <w:tblW w:w="0" w:type="auto"/>
        <w:tblLook w:val="04A0" w:firstRow="1" w:lastRow="0" w:firstColumn="1" w:lastColumn="0" w:noHBand="0" w:noVBand="1"/>
      </w:tblPr>
      <w:tblGrid>
        <w:gridCol w:w="2547"/>
        <w:gridCol w:w="3118"/>
        <w:gridCol w:w="993"/>
        <w:gridCol w:w="2358"/>
      </w:tblGrid>
      <w:tr w:rsidR="00A769EF" w:rsidTr="00FB5362">
        <w:tc>
          <w:tcPr>
            <w:tcW w:w="2547" w:type="dxa"/>
            <w:shd w:val="clear" w:color="auto" w:fill="D9D9D9" w:themeFill="background1" w:themeFillShade="D9"/>
          </w:tcPr>
          <w:p w:rsidR="00A769EF" w:rsidRPr="00FB5362" w:rsidRDefault="00A769EF" w:rsidP="00A769EF">
            <w:pPr>
              <w:jc w:val="center"/>
              <w:rPr>
                <w:b/>
              </w:rPr>
            </w:pPr>
            <w:r w:rsidRPr="00FB5362">
              <w:rPr>
                <w:b/>
              </w:rPr>
              <w:t>Responsible Officer:</w:t>
            </w:r>
          </w:p>
        </w:tc>
        <w:tc>
          <w:tcPr>
            <w:tcW w:w="4111" w:type="dxa"/>
            <w:gridSpan w:val="2"/>
            <w:shd w:val="clear" w:color="auto" w:fill="D9D9D9" w:themeFill="background1" w:themeFillShade="D9"/>
          </w:tcPr>
          <w:p w:rsidR="00A769EF" w:rsidRPr="00FB5362" w:rsidRDefault="00A769EF" w:rsidP="00A769EF">
            <w:pPr>
              <w:jc w:val="center"/>
              <w:rPr>
                <w:b/>
              </w:rPr>
            </w:pPr>
            <w:r w:rsidRPr="00FB5362">
              <w:rPr>
                <w:b/>
              </w:rPr>
              <w:t>Impact on Business:</w:t>
            </w:r>
          </w:p>
        </w:tc>
        <w:tc>
          <w:tcPr>
            <w:tcW w:w="2358" w:type="dxa"/>
            <w:shd w:val="clear" w:color="auto" w:fill="D9D9D9" w:themeFill="background1" w:themeFillShade="D9"/>
          </w:tcPr>
          <w:p w:rsidR="00A769EF" w:rsidRPr="00FB5362" w:rsidRDefault="00A769EF" w:rsidP="00A769EF">
            <w:pPr>
              <w:rPr>
                <w:b/>
              </w:rPr>
            </w:pPr>
            <w:r>
              <w:rPr>
                <w:b/>
              </w:rPr>
              <w:t>Risk Register Reference &amp; RAG</w:t>
            </w:r>
          </w:p>
        </w:tc>
      </w:tr>
      <w:tr w:rsidR="00A769EF" w:rsidTr="00B2721D">
        <w:tc>
          <w:tcPr>
            <w:tcW w:w="2547" w:type="dxa"/>
            <w:vMerge w:val="restart"/>
          </w:tcPr>
          <w:p w:rsidR="00A769EF" w:rsidRDefault="00AB592A" w:rsidP="00A769EF">
            <w:r>
              <w:t>Jon Lee, CFO and Director of Resources</w:t>
            </w:r>
          </w:p>
        </w:tc>
        <w:tc>
          <w:tcPr>
            <w:tcW w:w="3118" w:type="dxa"/>
          </w:tcPr>
          <w:p w:rsidR="00A769EF" w:rsidRDefault="00A769EF" w:rsidP="00A769EF">
            <w:r>
              <w:t>High</w:t>
            </w:r>
          </w:p>
        </w:tc>
        <w:tc>
          <w:tcPr>
            <w:tcW w:w="993" w:type="dxa"/>
          </w:tcPr>
          <w:p w:rsidR="00A769EF" w:rsidRDefault="00A769EF" w:rsidP="00A769EF"/>
        </w:tc>
        <w:tc>
          <w:tcPr>
            <w:tcW w:w="2358" w:type="dxa"/>
            <w:vMerge w:val="restart"/>
            <w:shd w:val="clear" w:color="auto" w:fill="auto"/>
          </w:tcPr>
          <w:p w:rsidR="00A769EF" w:rsidRPr="00B2721D" w:rsidRDefault="00A769EF" w:rsidP="00A769EF"/>
        </w:tc>
      </w:tr>
      <w:tr w:rsidR="00A769EF" w:rsidTr="008D782E">
        <w:tc>
          <w:tcPr>
            <w:tcW w:w="2547" w:type="dxa"/>
            <w:vMerge/>
          </w:tcPr>
          <w:p w:rsidR="00A769EF" w:rsidRDefault="00A769EF" w:rsidP="00A769EF"/>
        </w:tc>
        <w:tc>
          <w:tcPr>
            <w:tcW w:w="3118" w:type="dxa"/>
          </w:tcPr>
          <w:p w:rsidR="00A769EF" w:rsidRDefault="00A769EF" w:rsidP="00A769EF">
            <w:r>
              <w:t>Medium</w:t>
            </w:r>
          </w:p>
        </w:tc>
        <w:tc>
          <w:tcPr>
            <w:tcW w:w="993" w:type="dxa"/>
          </w:tcPr>
          <w:p w:rsidR="00A769EF" w:rsidRDefault="00096FCA" w:rsidP="00A769EF">
            <w:r>
              <w:t>X</w:t>
            </w:r>
          </w:p>
        </w:tc>
        <w:tc>
          <w:tcPr>
            <w:tcW w:w="2358" w:type="dxa"/>
            <w:vMerge/>
          </w:tcPr>
          <w:p w:rsidR="00A769EF" w:rsidRDefault="00A769EF" w:rsidP="00A769EF"/>
        </w:tc>
      </w:tr>
      <w:tr w:rsidR="00A769EF" w:rsidTr="008D782E">
        <w:tc>
          <w:tcPr>
            <w:tcW w:w="2547" w:type="dxa"/>
            <w:vMerge/>
            <w:shd w:val="clear" w:color="auto" w:fill="auto"/>
          </w:tcPr>
          <w:p w:rsidR="00A769EF" w:rsidRPr="00FB5362" w:rsidRDefault="00A769EF" w:rsidP="00A769EF">
            <w:pPr>
              <w:rPr>
                <w:b/>
              </w:rPr>
            </w:pPr>
          </w:p>
        </w:tc>
        <w:tc>
          <w:tcPr>
            <w:tcW w:w="3118" w:type="dxa"/>
            <w:shd w:val="clear" w:color="auto" w:fill="auto"/>
          </w:tcPr>
          <w:p w:rsidR="00A769EF" w:rsidRPr="003E2C02" w:rsidRDefault="00A769EF" w:rsidP="00A769EF">
            <w:r>
              <w:t>Low</w:t>
            </w:r>
          </w:p>
        </w:tc>
        <w:tc>
          <w:tcPr>
            <w:tcW w:w="993" w:type="dxa"/>
            <w:shd w:val="clear" w:color="auto" w:fill="auto"/>
          </w:tcPr>
          <w:p w:rsidR="00A769EF" w:rsidRPr="003E2C02" w:rsidRDefault="00A769EF" w:rsidP="00A769EF">
            <w:pPr>
              <w:jc w:val="center"/>
            </w:pPr>
          </w:p>
        </w:tc>
        <w:tc>
          <w:tcPr>
            <w:tcW w:w="2358" w:type="dxa"/>
            <w:vMerge/>
            <w:shd w:val="clear" w:color="auto" w:fill="auto"/>
          </w:tcPr>
          <w:p w:rsidR="00A769EF" w:rsidRDefault="00A769EF" w:rsidP="00A769EF">
            <w:pPr>
              <w:rPr>
                <w:b/>
              </w:rPr>
            </w:pPr>
          </w:p>
        </w:tc>
      </w:tr>
      <w:tr w:rsidR="00A769EF" w:rsidTr="000939A0">
        <w:tc>
          <w:tcPr>
            <w:tcW w:w="2547" w:type="dxa"/>
            <w:shd w:val="clear" w:color="auto" w:fill="D9D9D9" w:themeFill="background1" w:themeFillShade="D9"/>
          </w:tcPr>
          <w:p w:rsidR="00A769EF" w:rsidRPr="00FB5362" w:rsidRDefault="00A769EF" w:rsidP="00A769EF">
            <w:pPr>
              <w:rPr>
                <w:b/>
              </w:rPr>
            </w:pPr>
            <w:r w:rsidRPr="00FB5362">
              <w:rPr>
                <w:b/>
              </w:rPr>
              <w:t>Lead Manager:</w:t>
            </w:r>
          </w:p>
        </w:tc>
        <w:tc>
          <w:tcPr>
            <w:tcW w:w="4111" w:type="dxa"/>
            <w:gridSpan w:val="2"/>
            <w:shd w:val="clear" w:color="auto" w:fill="D9D9D9" w:themeFill="background1" w:themeFillShade="D9"/>
          </w:tcPr>
          <w:p w:rsidR="00A769EF" w:rsidRPr="00FB5362" w:rsidRDefault="00A769EF" w:rsidP="00A769EF">
            <w:pPr>
              <w:jc w:val="center"/>
              <w:rPr>
                <w:b/>
              </w:rPr>
            </w:pPr>
            <w:r>
              <w:rPr>
                <w:b/>
              </w:rPr>
              <w:t>Report Type:</w:t>
            </w:r>
          </w:p>
        </w:tc>
        <w:tc>
          <w:tcPr>
            <w:tcW w:w="2358" w:type="dxa"/>
            <w:shd w:val="clear" w:color="auto" w:fill="D9D9D9" w:themeFill="background1" w:themeFillShade="D9"/>
          </w:tcPr>
          <w:p w:rsidR="00A769EF" w:rsidRPr="00FB5362" w:rsidRDefault="00A769EF" w:rsidP="00A769EF">
            <w:pPr>
              <w:rPr>
                <w:b/>
              </w:rPr>
            </w:pPr>
          </w:p>
        </w:tc>
      </w:tr>
      <w:tr w:rsidR="00A769EF" w:rsidTr="00A769EF">
        <w:tc>
          <w:tcPr>
            <w:tcW w:w="2547" w:type="dxa"/>
            <w:vMerge w:val="restart"/>
          </w:tcPr>
          <w:p w:rsidR="00A769EF" w:rsidRDefault="00096FCA" w:rsidP="00A769EF">
            <w:r>
              <w:t>Please see audit recommendations in the report</w:t>
            </w:r>
          </w:p>
        </w:tc>
        <w:tc>
          <w:tcPr>
            <w:tcW w:w="3118" w:type="dxa"/>
          </w:tcPr>
          <w:p w:rsidR="00A769EF" w:rsidRDefault="00A769EF" w:rsidP="00A769EF">
            <w:r>
              <w:t>Governance</w:t>
            </w:r>
          </w:p>
        </w:tc>
        <w:tc>
          <w:tcPr>
            <w:tcW w:w="993" w:type="dxa"/>
          </w:tcPr>
          <w:p w:rsidR="00A769EF" w:rsidRDefault="00096FCA" w:rsidP="00A769EF">
            <w:r>
              <w:t>X</w:t>
            </w:r>
          </w:p>
        </w:tc>
        <w:tc>
          <w:tcPr>
            <w:tcW w:w="2358" w:type="dxa"/>
            <w:vMerge w:val="restart"/>
            <w:shd w:val="clear" w:color="auto" w:fill="D9D9D9" w:themeFill="background1" w:themeFillShade="D9"/>
          </w:tcPr>
          <w:p w:rsidR="00A769EF" w:rsidRDefault="00A769EF" w:rsidP="00A769EF"/>
        </w:tc>
      </w:tr>
      <w:tr w:rsidR="00A769EF" w:rsidTr="00A769EF">
        <w:tc>
          <w:tcPr>
            <w:tcW w:w="2547" w:type="dxa"/>
            <w:vMerge/>
          </w:tcPr>
          <w:p w:rsidR="00A769EF" w:rsidRDefault="00A769EF" w:rsidP="00A769EF"/>
        </w:tc>
        <w:tc>
          <w:tcPr>
            <w:tcW w:w="3118" w:type="dxa"/>
          </w:tcPr>
          <w:p w:rsidR="00A769EF" w:rsidRDefault="00A769EF" w:rsidP="00A769EF">
            <w:r>
              <w:t>Strategic</w:t>
            </w:r>
          </w:p>
        </w:tc>
        <w:tc>
          <w:tcPr>
            <w:tcW w:w="993" w:type="dxa"/>
          </w:tcPr>
          <w:p w:rsidR="00A769EF" w:rsidRDefault="00A769EF" w:rsidP="00A769EF"/>
        </w:tc>
        <w:tc>
          <w:tcPr>
            <w:tcW w:w="2358" w:type="dxa"/>
            <w:vMerge/>
            <w:shd w:val="clear" w:color="auto" w:fill="D9D9D9" w:themeFill="background1" w:themeFillShade="D9"/>
          </w:tcPr>
          <w:p w:rsidR="00A769EF" w:rsidRDefault="00A769EF" w:rsidP="00A769EF"/>
        </w:tc>
      </w:tr>
      <w:tr w:rsidR="00A769EF" w:rsidTr="00A769EF">
        <w:tc>
          <w:tcPr>
            <w:tcW w:w="2547" w:type="dxa"/>
            <w:vMerge/>
          </w:tcPr>
          <w:p w:rsidR="00A769EF" w:rsidRDefault="00A769EF" w:rsidP="00A769EF"/>
        </w:tc>
        <w:tc>
          <w:tcPr>
            <w:tcW w:w="3118" w:type="dxa"/>
          </w:tcPr>
          <w:p w:rsidR="00A769EF" w:rsidRDefault="00A769EF" w:rsidP="00A769EF">
            <w:r>
              <w:t>Operational</w:t>
            </w:r>
          </w:p>
        </w:tc>
        <w:tc>
          <w:tcPr>
            <w:tcW w:w="993" w:type="dxa"/>
          </w:tcPr>
          <w:p w:rsidR="00A769EF" w:rsidRDefault="00A769EF" w:rsidP="00A769EF"/>
        </w:tc>
        <w:tc>
          <w:tcPr>
            <w:tcW w:w="2358" w:type="dxa"/>
            <w:vMerge/>
            <w:shd w:val="clear" w:color="auto" w:fill="D9D9D9" w:themeFill="background1" w:themeFillShade="D9"/>
          </w:tcPr>
          <w:p w:rsidR="00A769EF" w:rsidRDefault="00A769EF" w:rsidP="00A769EF"/>
        </w:tc>
      </w:tr>
      <w:tr w:rsidR="00A769EF" w:rsidTr="002069A8">
        <w:tc>
          <w:tcPr>
            <w:tcW w:w="9016" w:type="dxa"/>
            <w:gridSpan w:val="4"/>
            <w:shd w:val="clear" w:color="auto" w:fill="D9D9D9" w:themeFill="background1" w:themeFillShade="D9"/>
          </w:tcPr>
          <w:p w:rsidR="00A769EF" w:rsidRDefault="00A769EF" w:rsidP="00A769EF">
            <w:r w:rsidRPr="00FB5362">
              <w:rPr>
                <w:b/>
              </w:rPr>
              <w:t>Previous papers to Committee:</w:t>
            </w:r>
          </w:p>
        </w:tc>
      </w:tr>
      <w:tr w:rsidR="00A769EF" w:rsidTr="00B2721D">
        <w:tc>
          <w:tcPr>
            <w:tcW w:w="9016" w:type="dxa"/>
            <w:gridSpan w:val="4"/>
            <w:shd w:val="clear" w:color="auto" w:fill="auto"/>
          </w:tcPr>
          <w:p w:rsidR="00A769EF" w:rsidRDefault="00A769EF" w:rsidP="00A769EF">
            <w:pPr>
              <w:rPr>
                <w:b/>
              </w:rPr>
            </w:pPr>
          </w:p>
          <w:p w:rsidR="00A769EF" w:rsidRPr="00FB5362" w:rsidRDefault="00A769EF" w:rsidP="00A769EF">
            <w:pPr>
              <w:rPr>
                <w:b/>
              </w:rPr>
            </w:pPr>
          </w:p>
        </w:tc>
      </w:tr>
    </w:tbl>
    <w:p w:rsidR="00FB5362" w:rsidRDefault="00FB5362"/>
    <w:tbl>
      <w:tblPr>
        <w:tblStyle w:val="TableGrid"/>
        <w:tblW w:w="0" w:type="auto"/>
        <w:tblLook w:val="04A0" w:firstRow="1" w:lastRow="0" w:firstColumn="1" w:lastColumn="0" w:noHBand="0" w:noVBand="1"/>
      </w:tblPr>
      <w:tblGrid>
        <w:gridCol w:w="1980"/>
        <w:gridCol w:w="1759"/>
        <w:gridCol w:w="1759"/>
        <w:gridCol w:w="1759"/>
        <w:gridCol w:w="1759"/>
      </w:tblGrid>
      <w:tr w:rsidR="00763BA8" w:rsidTr="00763BA8">
        <w:tc>
          <w:tcPr>
            <w:tcW w:w="1980" w:type="dxa"/>
          </w:tcPr>
          <w:p w:rsidR="00763BA8" w:rsidRPr="00763BA8" w:rsidRDefault="00763BA8">
            <w:pPr>
              <w:rPr>
                <w:b/>
              </w:rPr>
            </w:pPr>
            <w:r w:rsidRPr="00763BA8">
              <w:rPr>
                <w:b/>
              </w:rPr>
              <w:t>Report summary</w:t>
            </w:r>
          </w:p>
        </w:tc>
        <w:tc>
          <w:tcPr>
            <w:tcW w:w="7036" w:type="dxa"/>
            <w:gridSpan w:val="4"/>
          </w:tcPr>
          <w:p w:rsidR="00763BA8" w:rsidRDefault="00763BA8"/>
          <w:p w:rsidR="00096FCA" w:rsidRDefault="00096FCA" w:rsidP="00096FCA">
            <w:r>
              <w:t xml:space="preserve">To update members on progress in addressing audit recommendations (high or medium) in the financial business areas. </w:t>
            </w:r>
          </w:p>
          <w:p w:rsidR="00096FCA" w:rsidRDefault="00096FCA" w:rsidP="00096FCA"/>
          <w:p w:rsidR="00763BA8" w:rsidRDefault="00096FCA" w:rsidP="00096FCA">
            <w:r>
              <w:t>The recommendations may arise from external audit, internal audit or Her Majesty Inspectorate of Constabularies (HMIC)</w:t>
            </w:r>
          </w:p>
          <w:p w:rsidR="00763BA8" w:rsidRDefault="00763BA8"/>
          <w:p w:rsidR="00763BA8" w:rsidRDefault="00763BA8"/>
        </w:tc>
      </w:tr>
      <w:tr w:rsidR="00763BA8" w:rsidTr="00763BA8">
        <w:tc>
          <w:tcPr>
            <w:tcW w:w="1980" w:type="dxa"/>
          </w:tcPr>
          <w:p w:rsidR="00763BA8" w:rsidRPr="00763BA8" w:rsidRDefault="00763BA8">
            <w:pPr>
              <w:rPr>
                <w:b/>
              </w:rPr>
            </w:pPr>
            <w:r w:rsidRPr="00763BA8">
              <w:rPr>
                <w:b/>
              </w:rPr>
              <w:t>Related Police and Crime Plan objective</w:t>
            </w:r>
          </w:p>
        </w:tc>
        <w:tc>
          <w:tcPr>
            <w:tcW w:w="7036" w:type="dxa"/>
            <w:gridSpan w:val="4"/>
          </w:tcPr>
          <w:p w:rsidR="00763BA8" w:rsidRDefault="00BC5AC7">
            <w:r>
              <w:t>Governance</w:t>
            </w:r>
          </w:p>
        </w:tc>
      </w:tr>
      <w:tr w:rsidR="00BC5AC7" w:rsidTr="00B6714C">
        <w:tc>
          <w:tcPr>
            <w:tcW w:w="1980" w:type="dxa"/>
          </w:tcPr>
          <w:p w:rsidR="00BC5AC7" w:rsidRDefault="00BC5AC7" w:rsidP="00BC5AC7">
            <w:pPr>
              <w:rPr>
                <w:b/>
              </w:rPr>
            </w:pPr>
            <w:r w:rsidRPr="00763BA8">
              <w:rPr>
                <w:b/>
              </w:rPr>
              <w:t>Action</w:t>
            </w:r>
          </w:p>
          <w:p w:rsidR="00BC5AC7" w:rsidRPr="00763BA8" w:rsidRDefault="00BC5AC7" w:rsidP="00BC5AC7">
            <w:r>
              <w:t>(tick one box only)</w:t>
            </w:r>
          </w:p>
        </w:tc>
        <w:tc>
          <w:tcPr>
            <w:tcW w:w="1759" w:type="dxa"/>
          </w:tcPr>
          <w:p w:rsidR="00BC5AC7" w:rsidRDefault="00BC5AC7" w:rsidP="00BC5AC7">
            <w:r>
              <w:rPr>
                <w:noProof/>
                <w:lang w:eastAsia="en-GB"/>
              </w:rPr>
              <mc:AlternateContent>
                <mc:Choice Requires="wps">
                  <w:drawing>
                    <wp:anchor distT="0" distB="0" distL="114300" distR="114300" simplePos="0" relativeHeight="251669504" behindDoc="0" locked="0" layoutInCell="1" allowOverlap="1" wp14:anchorId="0075F835" wp14:editId="48BFBD1B">
                      <wp:simplePos x="0" y="0"/>
                      <wp:positionH relativeFrom="column">
                        <wp:posOffset>728345</wp:posOffset>
                      </wp:positionH>
                      <wp:positionV relativeFrom="paragraph">
                        <wp:posOffset>56515</wp:posOffset>
                      </wp:positionV>
                      <wp:extent cx="2381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C5AC7" w:rsidRPr="00D02A50" w:rsidRDefault="00BC5AC7" w:rsidP="00D02A50">
                                  <w:pPr>
                                    <w:rPr>
                                      <w:color w:val="000000" w:themeColor="text1"/>
                                    </w:rPr>
                                  </w:pPr>
                                  <w:r>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5F835" id="Rectangle 1" o:spid="_x0000_s1026" style="position:absolute;margin-left:57.35pt;margin-top:4.45pt;width:18.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" filled="f" strokecolor="#1f4d78 [1604]" strokeweight="1pt">
                      <v:textbox>
                        <w:txbxContent>
                          <w:p w:rsidR="00BC5AC7" w:rsidRPr="00D02A50" w:rsidRDefault="00BC5AC7" w:rsidP="00D02A50">
                            <w:pPr>
                              <w:rPr>
                                <w:color w:val="000000" w:themeColor="text1"/>
                              </w:rPr>
                            </w:pPr>
                            <w:r>
                              <w:rPr>
                                <w:color w:val="000000" w:themeColor="text1"/>
                              </w:rPr>
                              <w:t>x</w:t>
                            </w:r>
                          </w:p>
                        </w:txbxContent>
                      </v:textbox>
                    </v:rect>
                  </w:pict>
                </mc:Fallback>
              </mc:AlternateContent>
            </w:r>
            <w:r>
              <w:t>Information</w:t>
            </w:r>
          </w:p>
        </w:tc>
        <w:tc>
          <w:tcPr>
            <w:tcW w:w="1759" w:type="dxa"/>
          </w:tcPr>
          <w:p w:rsidR="00BC5AC7" w:rsidRDefault="00BC5AC7" w:rsidP="00BC5AC7">
            <w:r>
              <w:rPr>
                <w:noProof/>
                <w:lang w:eastAsia="en-GB"/>
              </w:rPr>
              <mc:AlternateContent>
                <mc:Choice Requires="wps">
                  <w:drawing>
                    <wp:anchor distT="0" distB="0" distL="114300" distR="114300" simplePos="0" relativeHeight="251670528" behindDoc="0" locked="0" layoutInCell="1" allowOverlap="1" wp14:anchorId="7EC682F5" wp14:editId="209AE79E">
                      <wp:simplePos x="0" y="0"/>
                      <wp:positionH relativeFrom="column">
                        <wp:posOffset>659130</wp:posOffset>
                      </wp:positionH>
                      <wp:positionV relativeFrom="paragraph">
                        <wp:posOffset>52070</wp:posOffset>
                      </wp:positionV>
                      <wp:extent cx="2476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C5AC7" w:rsidRDefault="00BC5AC7" w:rsidP="00193D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682F5" id="Rectangle 2" o:spid="_x0000_s1027" style="position:absolute;margin-left:51.9pt;margin-top:4.1pt;width:19.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" filled="f" strokecolor="#1f4d78 [1604]" strokeweight="1pt">
                      <v:textbox>
                        <w:txbxContent>
                          <w:p w:rsidR="00BC5AC7" w:rsidRDefault="00BC5AC7" w:rsidP="00193DF0">
                            <w:pPr>
                              <w:jc w:val="center"/>
                            </w:pPr>
                          </w:p>
                        </w:txbxContent>
                      </v:textbox>
                    </v:rect>
                  </w:pict>
                </mc:Fallback>
              </mc:AlternateContent>
            </w:r>
            <w:r>
              <w:t>Assurance</w:t>
            </w:r>
          </w:p>
        </w:tc>
        <w:tc>
          <w:tcPr>
            <w:tcW w:w="1759" w:type="dxa"/>
          </w:tcPr>
          <w:p w:rsidR="00BC5AC7" w:rsidRDefault="00BC5AC7" w:rsidP="00BC5AC7">
            <w:r>
              <w:rPr>
                <w:noProof/>
                <w:lang w:eastAsia="en-GB"/>
              </w:rPr>
              <mc:AlternateContent>
                <mc:Choice Requires="wps">
                  <w:drawing>
                    <wp:anchor distT="0" distB="0" distL="114300" distR="114300" simplePos="0" relativeHeight="251671552" behindDoc="0" locked="0" layoutInCell="1" allowOverlap="1" wp14:anchorId="71B4608D" wp14:editId="2FE8FE5B">
                      <wp:simplePos x="0" y="0"/>
                      <wp:positionH relativeFrom="column">
                        <wp:posOffset>632460</wp:posOffset>
                      </wp:positionH>
                      <wp:positionV relativeFrom="paragraph">
                        <wp:posOffset>55245</wp:posOffset>
                      </wp:positionV>
                      <wp:extent cx="220980" cy="1981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22098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56655" id="Rectangle 3" o:spid="_x0000_s1026" style="position:absolute;margin-left:49.8pt;margin-top:4.35pt;width:17.4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" filled="f" strokecolor="#1f4d78 [1604]" strokeweight="1pt"/>
                  </w:pict>
                </mc:Fallback>
              </mc:AlternateContent>
            </w:r>
            <w:r>
              <w:t xml:space="preserve">Approval </w:t>
            </w:r>
          </w:p>
        </w:tc>
        <w:tc>
          <w:tcPr>
            <w:tcW w:w="1759" w:type="dxa"/>
          </w:tcPr>
          <w:p w:rsidR="00BC5AC7" w:rsidRDefault="00BC5AC7" w:rsidP="00BC5AC7">
            <w:r>
              <w:rPr>
                <w:noProof/>
                <w:lang w:eastAsia="en-GB"/>
              </w:rPr>
              <mc:AlternateContent>
                <mc:Choice Requires="wps">
                  <w:drawing>
                    <wp:anchor distT="0" distB="0" distL="114300" distR="114300" simplePos="0" relativeHeight="251672576" behindDoc="0" locked="0" layoutInCell="1" allowOverlap="1" wp14:anchorId="1872A9B9" wp14:editId="01E5EEAF">
                      <wp:simplePos x="0" y="0"/>
                      <wp:positionH relativeFrom="column">
                        <wp:posOffset>567055</wp:posOffset>
                      </wp:positionH>
                      <wp:positionV relativeFrom="paragraph">
                        <wp:posOffset>40005</wp:posOffset>
                      </wp:positionV>
                      <wp:extent cx="220980" cy="1981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22098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4F5AD" id="Rectangle 4" o:spid="_x0000_s1026" style="position:absolute;margin-left:44.65pt;margin-top:3.15pt;width:17.4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" filled="f" strokecolor="#1f4d78 [1604]" strokeweight="1pt"/>
                  </w:pict>
                </mc:Fallback>
              </mc:AlternateContent>
            </w:r>
            <w:r>
              <w:t xml:space="preserve">Decision </w:t>
            </w:r>
          </w:p>
        </w:tc>
      </w:tr>
      <w:tr w:rsidR="00BC5AC7" w:rsidTr="00763BA8">
        <w:tc>
          <w:tcPr>
            <w:tcW w:w="1980" w:type="dxa"/>
          </w:tcPr>
          <w:p w:rsidR="00BC5AC7" w:rsidRDefault="00BC5AC7" w:rsidP="00BC5AC7">
            <w:pPr>
              <w:rPr>
                <w:b/>
              </w:rPr>
            </w:pPr>
            <w:r w:rsidRPr="00763BA8">
              <w:rPr>
                <w:b/>
              </w:rPr>
              <w:t>Recommendation</w:t>
            </w:r>
          </w:p>
          <w:p w:rsidR="00BC5AC7" w:rsidRPr="00763BA8" w:rsidRDefault="00BC5AC7" w:rsidP="00BC5AC7">
            <w:pPr>
              <w:rPr>
                <w:b/>
              </w:rPr>
            </w:pPr>
          </w:p>
        </w:tc>
        <w:tc>
          <w:tcPr>
            <w:tcW w:w="7036" w:type="dxa"/>
            <w:gridSpan w:val="4"/>
          </w:tcPr>
          <w:p w:rsidR="00BC5AC7" w:rsidRDefault="00BC5AC7" w:rsidP="00BC5AC7">
            <w:r w:rsidRPr="00BC5AC7">
              <w:t>The Committee is asked to comment on and note the report</w:t>
            </w:r>
          </w:p>
        </w:tc>
      </w:tr>
    </w:tbl>
    <w:p w:rsidR="00B85D00" w:rsidRDefault="00B85D00"/>
    <w:p w:rsidR="00096FCA" w:rsidRDefault="00096FCA"/>
    <w:p w:rsidR="00096FCA" w:rsidRDefault="00096FCA"/>
    <w:p w:rsidR="00096FCA" w:rsidRDefault="00096FCA"/>
    <w:p w:rsidR="00096FCA" w:rsidRDefault="00096FCA"/>
    <w:p w:rsidR="00096FCA" w:rsidRDefault="00096FCA"/>
    <w:p w:rsidR="00096FCA" w:rsidRDefault="00096FCA"/>
    <w:p w:rsidR="00096FCA" w:rsidRPr="00096FCA" w:rsidRDefault="00096FCA" w:rsidP="00096FCA">
      <w:pPr>
        <w:keepNext/>
        <w:spacing w:after="240" w:line="240" w:lineRule="auto"/>
        <w:jc w:val="both"/>
        <w:outlineLvl w:val="1"/>
        <w:rPr>
          <w:rFonts w:eastAsia="Times New Roman" w:cs="Arial"/>
          <w:b/>
          <w:sz w:val="24"/>
          <w:szCs w:val="24"/>
          <w:lang w:eastAsia="en-GB"/>
        </w:rPr>
      </w:pPr>
      <w:r w:rsidRPr="00096FCA">
        <w:rPr>
          <w:rFonts w:eastAsia="Times New Roman" w:cs="Arial"/>
          <w:b/>
          <w:sz w:val="24"/>
          <w:szCs w:val="24"/>
          <w:lang w:eastAsia="en-GB"/>
        </w:rPr>
        <w:t>FINANCE AUDIT RECOMMENDATIONS – PROGRESS REPORT</w:t>
      </w:r>
    </w:p>
    <w:p w:rsidR="00096FCA" w:rsidRPr="00096FCA" w:rsidRDefault="00096FCA" w:rsidP="00096FCA">
      <w:pPr>
        <w:tabs>
          <w:tab w:val="left" w:pos="851"/>
        </w:tabs>
        <w:spacing w:before="240" w:after="240"/>
        <w:jc w:val="both"/>
        <w:rPr>
          <w:rFonts w:cs="Arial"/>
          <w:b/>
          <w:sz w:val="24"/>
          <w:szCs w:val="24"/>
        </w:rPr>
      </w:pPr>
      <w:r w:rsidRPr="00096FCA">
        <w:rPr>
          <w:rFonts w:cs="Arial"/>
          <w:b/>
          <w:sz w:val="24"/>
          <w:szCs w:val="24"/>
        </w:rPr>
        <w:t>1.</w:t>
      </w:r>
      <w:r w:rsidRPr="00096FCA">
        <w:rPr>
          <w:rFonts w:cs="Arial"/>
          <w:b/>
          <w:sz w:val="24"/>
          <w:szCs w:val="24"/>
        </w:rPr>
        <w:tab/>
        <w:t xml:space="preserve">Purpose </w:t>
      </w:r>
    </w:p>
    <w:p w:rsidR="00096FCA" w:rsidRPr="00096FCA" w:rsidRDefault="00096FCA" w:rsidP="00096FCA">
      <w:pPr>
        <w:numPr>
          <w:ilvl w:val="1"/>
          <w:numId w:val="1"/>
        </w:numPr>
        <w:spacing w:after="120" w:line="240" w:lineRule="auto"/>
        <w:ind w:left="851" w:hanging="851"/>
        <w:jc w:val="both"/>
        <w:rPr>
          <w:rFonts w:eastAsia="Times New Roman" w:cs="Arial"/>
          <w:sz w:val="24"/>
          <w:szCs w:val="24"/>
          <w:lang w:eastAsia="en-GB"/>
        </w:rPr>
      </w:pPr>
      <w:r w:rsidRPr="00096FCA">
        <w:rPr>
          <w:rFonts w:eastAsia="Times New Roman" w:cs="Arial"/>
          <w:sz w:val="24"/>
          <w:szCs w:val="24"/>
          <w:lang w:eastAsia="en-GB"/>
        </w:rPr>
        <w:t xml:space="preserve">This report provides details of progress in addressing audit recommendations (high or medium) in the financial business areas. </w:t>
      </w:r>
    </w:p>
    <w:p w:rsidR="00096FCA" w:rsidRPr="00096FCA" w:rsidRDefault="00096FCA" w:rsidP="00096FCA">
      <w:pPr>
        <w:spacing w:after="120" w:line="240" w:lineRule="auto"/>
        <w:ind w:left="851"/>
        <w:jc w:val="both"/>
        <w:rPr>
          <w:rFonts w:eastAsia="Times New Roman" w:cs="Times New Roman"/>
          <w:sz w:val="24"/>
          <w:szCs w:val="24"/>
          <w:lang w:eastAsia="en-GB"/>
        </w:rPr>
      </w:pPr>
      <w:r w:rsidRPr="00096FCA">
        <w:rPr>
          <w:rFonts w:eastAsia="Times New Roman" w:cs="Arial"/>
          <w:sz w:val="24"/>
          <w:szCs w:val="24"/>
          <w:lang w:eastAsia="en-GB"/>
        </w:rPr>
        <w:t>The recommendations may arise from e</w:t>
      </w:r>
      <w:r w:rsidRPr="00096FCA">
        <w:rPr>
          <w:rFonts w:eastAsia="Times New Roman" w:cs="Times New Roman"/>
          <w:sz w:val="24"/>
          <w:szCs w:val="24"/>
          <w:lang w:eastAsia="en-GB"/>
        </w:rPr>
        <w:t>xternal audit, internal audit or Her Majesty Inspectorate of Constabularies (HMIC)</w:t>
      </w:r>
    </w:p>
    <w:p w:rsidR="00096FCA" w:rsidRPr="00096FCA" w:rsidRDefault="00096FCA" w:rsidP="00096FCA">
      <w:pPr>
        <w:spacing w:after="240" w:line="240" w:lineRule="auto"/>
        <w:ind w:left="851" w:hanging="851"/>
        <w:jc w:val="both"/>
        <w:rPr>
          <w:rFonts w:eastAsia="Times New Roman" w:cs="Arial"/>
          <w:b/>
          <w:sz w:val="24"/>
          <w:szCs w:val="24"/>
          <w:lang w:eastAsia="en-GB"/>
        </w:rPr>
      </w:pPr>
      <w:r w:rsidRPr="00096FCA">
        <w:rPr>
          <w:rFonts w:eastAsia="Times New Roman" w:cs="Arial"/>
          <w:b/>
          <w:sz w:val="24"/>
          <w:szCs w:val="24"/>
          <w:lang w:eastAsia="en-GB"/>
        </w:rPr>
        <w:t>2.</w:t>
      </w:r>
      <w:r w:rsidRPr="00096FCA">
        <w:rPr>
          <w:rFonts w:eastAsia="Times New Roman" w:cs="Arial"/>
          <w:b/>
          <w:sz w:val="24"/>
          <w:szCs w:val="24"/>
          <w:lang w:eastAsia="en-GB"/>
        </w:rPr>
        <w:tab/>
        <w:t>Background</w:t>
      </w:r>
    </w:p>
    <w:p w:rsidR="00096FCA" w:rsidRPr="00096FCA" w:rsidRDefault="00096FCA" w:rsidP="00096FCA">
      <w:pPr>
        <w:spacing w:before="240" w:after="240"/>
        <w:ind w:left="851" w:hanging="851"/>
        <w:jc w:val="both"/>
        <w:rPr>
          <w:rFonts w:cs="Arial"/>
          <w:sz w:val="24"/>
          <w:szCs w:val="24"/>
        </w:rPr>
      </w:pPr>
      <w:r w:rsidRPr="00096FCA">
        <w:rPr>
          <w:rFonts w:cs="Arial"/>
          <w:sz w:val="24"/>
          <w:szCs w:val="24"/>
        </w:rPr>
        <w:t>2.1</w:t>
      </w:r>
      <w:r w:rsidRPr="00096FCA">
        <w:rPr>
          <w:rFonts w:cs="Arial"/>
          <w:sz w:val="24"/>
          <w:szCs w:val="24"/>
        </w:rPr>
        <w:tab/>
        <w:t>Monitoring of the recommendations from financial audit reports is undertaken by the Chief Finance Officer</w:t>
      </w:r>
      <w:r w:rsidR="00344CB5">
        <w:rPr>
          <w:rFonts w:cs="Arial"/>
          <w:sz w:val="24"/>
          <w:szCs w:val="24"/>
        </w:rPr>
        <w:t>.</w:t>
      </w:r>
      <w:r w:rsidRPr="00096FCA">
        <w:rPr>
          <w:rFonts w:cs="Arial"/>
          <w:sz w:val="24"/>
          <w:szCs w:val="24"/>
        </w:rPr>
        <w:t xml:space="preserve"> Management responses are agreed with the Auditor and then monitored to ensure that they are dealt with within the timescales.</w:t>
      </w:r>
    </w:p>
    <w:p w:rsidR="00096FCA" w:rsidRPr="00096FCA" w:rsidRDefault="00096FCA" w:rsidP="00096FCA">
      <w:pPr>
        <w:spacing w:before="240" w:after="240"/>
        <w:ind w:left="851" w:hanging="851"/>
        <w:jc w:val="both"/>
        <w:rPr>
          <w:rFonts w:cstheme="minorHAnsi"/>
          <w:sz w:val="24"/>
          <w:szCs w:val="24"/>
        </w:rPr>
      </w:pPr>
      <w:r w:rsidRPr="00096FCA">
        <w:rPr>
          <w:rFonts w:cs="Arial"/>
          <w:sz w:val="24"/>
          <w:szCs w:val="24"/>
        </w:rPr>
        <w:t>2.2</w:t>
      </w:r>
      <w:r w:rsidRPr="00096FCA">
        <w:rPr>
          <w:rFonts w:cs="Arial"/>
          <w:sz w:val="24"/>
          <w:szCs w:val="24"/>
        </w:rPr>
        <w:tab/>
      </w:r>
      <w:r w:rsidRPr="00096FCA">
        <w:rPr>
          <w:sz w:val="24"/>
          <w:szCs w:val="24"/>
        </w:rPr>
        <w:t xml:space="preserve">Financial activities are subject to a great deal of audit scrutiny during the year.  </w:t>
      </w:r>
      <w:r w:rsidRPr="00096FCA">
        <w:rPr>
          <w:rFonts w:cstheme="minorHAnsi"/>
          <w:sz w:val="24"/>
          <w:szCs w:val="24"/>
        </w:rPr>
        <w:t>The progressing of financial recommendations is critical to ensuring that the finance function operates effectively and also because the external auditor relies on the internal audit work in the context of the final accounts audit.</w:t>
      </w:r>
    </w:p>
    <w:p w:rsidR="00096FCA" w:rsidRPr="00096FCA" w:rsidRDefault="00096FCA" w:rsidP="00096FCA">
      <w:pPr>
        <w:spacing w:before="240" w:after="240"/>
        <w:ind w:left="851" w:hanging="851"/>
        <w:jc w:val="both"/>
        <w:rPr>
          <w:rFonts w:cs="Arial"/>
          <w:sz w:val="24"/>
          <w:szCs w:val="24"/>
        </w:rPr>
      </w:pPr>
      <w:r w:rsidRPr="00096FCA">
        <w:rPr>
          <w:rFonts w:cs="Arial"/>
          <w:sz w:val="24"/>
          <w:szCs w:val="24"/>
        </w:rPr>
        <w:t>2.3</w:t>
      </w:r>
      <w:r w:rsidRPr="00096FCA">
        <w:rPr>
          <w:rFonts w:cs="Arial"/>
          <w:sz w:val="24"/>
          <w:szCs w:val="24"/>
        </w:rPr>
        <w:tab/>
        <w:t xml:space="preserve">Recommendations are prioritised into high, medium or low importance by the auditor.  To indicate the extent that actions are on target for completion, each recommendation is colour coded (Red/Amber/Green) according to the following definitions: </w:t>
      </w:r>
    </w:p>
    <w:p w:rsidR="00096FCA" w:rsidRPr="00096FCA" w:rsidRDefault="00096FCA" w:rsidP="00096FCA">
      <w:pPr>
        <w:spacing w:after="120"/>
        <w:ind w:firstLine="851"/>
        <w:jc w:val="both"/>
        <w:rPr>
          <w:rFonts w:cs="Arial"/>
          <w:sz w:val="24"/>
          <w:szCs w:val="24"/>
        </w:rPr>
      </w:pPr>
      <w:r w:rsidRPr="00096FCA">
        <w:rPr>
          <w:rFonts w:cs="Arial"/>
          <w:sz w:val="24"/>
          <w:szCs w:val="24"/>
        </w:rPr>
        <w:t>•</w:t>
      </w:r>
      <w:r w:rsidRPr="00096FCA">
        <w:rPr>
          <w:rFonts w:cs="Arial"/>
          <w:sz w:val="24"/>
          <w:szCs w:val="24"/>
        </w:rPr>
        <w:tab/>
        <w:t>Red – recommendation posing significant risk to the Constabulary</w:t>
      </w:r>
    </w:p>
    <w:p w:rsidR="00096FCA" w:rsidRPr="00096FCA" w:rsidRDefault="00096FCA" w:rsidP="00096FCA">
      <w:pPr>
        <w:spacing w:after="120"/>
        <w:ind w:left="1441" w:hanging="590"/>
        <w:jc w:val="both"/>
        <w:rPr>
          <w:rFonts w:cs="Arial"/>
          <w:sz w:val="24"/>
          <w:szCs w:val="24"/>
        </w:rPr>
      </w:pPr>
      <w:r w:rsidRPr="00096FCA">
        <w:rPr>
          <w:rFonts w:cs="Arial"/>
          <w:sz w:val="24"/>
          <w:szCs w:val="24"/>
        </w:rPr>
        <w:t>•</w:t>
      </w:r>
      <w:r w:rsidRPr="00096FCA">
        <w:rPr>
          <w:rFonts w:cs="Arial"/>
          <w:sz w:val="24"/>
          <w:szCs w:val="24"/>
        </w:rPr>
        <w:tab/>
        <w:t>Amber – progress with implementation slipped/over budget/over timescale. After 6 months at Amber with no discernible progress the recommendation is declared Red,</w:t>
      </w:r>
    </w:p>
    <w:p w:rsidR="00096FCA" w:rsidRPr="00096FCA" w:rsidRDefault="00096FCA" w:rsidP="00096FCA">
      <w:pPr>
        <w:spacing w:after="120"/>
        <w:ind w:firstLine="851"/>
        <w:jc w:val="both"/>
        <w:rPr>
          <w:rFonts w:cs="Arial"/>
          <w:sz w:val="24"/>
          <w:szCs w:val="24"/>
        </w:rPr>
      </w:pPr>
      <w:r w:rsidRPr="00096FCA">
        <w:rPr>
          <w:rFonts w:cs="Arial"/>
          <w:sz w:val="24"/>
          <w:szCs w:val="24"/>
        </w:rPr>
        <w:t>•</w:t>
      </w:r>
      <w:r w:rsidRPr="00096FCA">
        <w:rPr>
          <w:rFonts w:cs="Arial"/>
          <w:sz w:val="24"/>
          <w:szCs w:val="24"/>
        </w:rPr>
        <w:tab/>
        <w:t>Green – on going – action in progress in line with anticipated timescale.</w:t>
      </w:r>
    </w:p>
    <w:p w:rsidR="00096FCA" w:rsidRPr="00096FCA" w:rsidRDefault="00096FCA" w:rsidP="00096FCA">
      <w:pPr>
        <w:spacing w:after="120"/>
        <w:ind w:firstLine="851"/>
        <w:jc w:val="both"/>
        <w:rPr>
          <w:rFonts w:cs="Arial"/>
          <w:sz w:val="24"/>
          <w:szCs w:val="24"/>
        </w:rPr>
      </w:pPr>
      <w:r w:rsidRPr="00096FCA">
        <w:rPr>
          <w:rFonts w:cs="Arial"/>
          <w:sz w:val="24"/>
          <w:szCs w:val="24"/>
        </w:rPr>
        <w:t>•</w:t>
      </w:r>
      <w:r w:rsidRPr="00096FCA">
        <w:rPr>
          <w:rFonts w:cs="Arial"/>
          <w:sz w:val="24"/>
          <w:szCs w:val="24"/>
        </w:rPr>
        <w:tab/>
        <w:t>Green – complete – actions fully completed and implemented</w:t>
      </w:r>
    </w:p>
    <w:p w:rsidR="00096FCA" w:rsidRDefault="00096FCA" w:rsidP="00096FCA">
      <w:pPr>
        <w:numPr>
          <w:ilvl w:val="0"/>
          <w:numId w:val="2"/>
        </w:numPr>
        <w:spacing w:after="120" w:line="240" w:lineRule="auto"/>
        <w:ind w:left="1418" w:hanging="567"/>
        <w:contextualSpacing/>
        <w:jc w:val="both"/>
        <w:rPr>
          <w:rFonts w:cs="Arial"/>
          <w:sz w:val="24"/>
          <w:szCs w:val="24"/>
        </w:rPr>
      </w:pPr>
      <w:r w:rsidRPr="00096FCA">
        <w:rPr>
          <w:rFonts w:cs="Arial"/>
          <w:sz w:val="24"/>
          <w:szCs w:val="24"/>
        </w:rPr>
        <w:t>Blue – not agree and / or unable to pursue with reasons given i.e. unrealistic, impractical, too costly or out of date.</w:t>
      </w:r>
    </w:p>
    <w:p w:rsidR="00096FCA" w:rsidRPr="00096FCA" w:rsidRDefault="00096FCA" w:rsidP="00096FCA">
      <w:pPr>
        <w:spacing w:after="120" w:line="240" w:lineRule="auto"/>
        <w:ind w:left="1418"/>
        <w:contextualSpacing/>
        <w:jc w:val="both"/>
        <w:rPr>
          <w:rFonts w:cs="Arial"/>
          <w:sz w:val="24"/>
          <w:szCs w:val="24"/>
        </w:rPr>
      </w:pPr>
    </w:p>
    <w:p w:rsidR="00096FCA" w:rsidRPr="00096FCA" w:rsidRDefault="00096FCA" w:rsidP="00096FCA">
      <w:pPr>
        <w:spacing w:after="120"/>
        <w:ind w:left="851" w:hanging="851"/>
        <w:jc w:val="both"/>
        <w:rPr>
          <w:rFonts w:cs="Arial"/>
          <w:b/>
          <w:sz w:val="24"/>
          <w:szCs w:val="24"/>
        </w:rPr>
      </w:pPr>
      <w:r w:rsidRPr="00096FCA">
        <w:rPr>
          <w:rFonts w:cs="Arial"/>
          <w:b/>
          <w:sz w:val="24"/>
          <w:szCs w:val="24"/>
        </w:rPr>
        <w:t>3.</w:t>
      </w:r>
      <w:r w:rsidRPr="00096FCA">
        <w:rPr>
          <w:rFonts w:cs="Arial"/>
          <w:b/>
          <w:sz w:val="24"/>
          <w:szCs w:val="24"/>
        </w:rPr>
        <w:tab/>
        <w:t>Current Status</w:t>
      </w:r>
      <w:r w:rsidRPr="00096FCA">
        <w:rPr>
          <w:rFonts w:cs="Arial"/>
          <w:b/>
          <w:sz w:val="24"/>
          <w:szCs w:val="24"/>
        </w:rPr>
        <w:tab/>
      </w:r>
    </w:p>
    <w:p w:rsidR="00096FCA" w:rsidRPr="00096FCA" w:rsidRDefault="00096FCA" w:rsidP="00096FCA">
      <w:pPr>
        <w:spacing w:before="240" w:after="240"/>
        <w:ind w:left="851" w:hanging="851"/>
        <w:jc w:val="both"/>
        <w:rPr>
          <w:rFonts w:cs="Arial"/>
          <w:sz w:val="24"/>
          <w:szCs w:val="24"/>
        </w:rPr>
      </w:pPr>
      <w:r w:rsidRPr="00096FCA">
        <w:rPr>
          <w:rFonts w:cs="Arial"/>
          <w:sz w:val="24"/>
          <w:szCs w:val="24"/>
        </w:rPr>
        <w:t>3.1</w:t>
      </w:r>
      <w:r w:rsidRPr="00096FCA">
        <w:rPr>
          <w:rFonts w:cs="Arial"/>
          <w:sz w:val="24"/>
          <w:szCs w:val="24"/>
        </w:rPr>
        <w:tab/>
      </w:r>
      <w:r w:rsidR="00484468">
        <w:rPr>
          <w:rFonts w:cs="Arial"/>
          <w:sz w:val="24"/>
          <w:szCs w:val="24"/>
        </w:rPr>
        <w:t>One new audit has been completed, Cash, Banking and Treasury Management</w:t>
      </w:r>
      <w:r w:rsidR="00AB592A">
        <w:rPr>
          <w:rFonts w:cs="Arial"/>
          <w:sz w:val="24"/>
          <w:szCs w:val="24"/>
        </w:rPr>
        <w:t>.</w:t>
      </w:r>
      <w:r w:rsidR="00344CB5">
        <w:rPr>
          <w:rFonts w:cs="Arial"/>
          <w:sz w:val="24"/>
          <w:szCs w:val="24"/>
        </w:rPr>
        <w:t xml:space="preserve"> </w:t>
      </w:r>
      <w:r w:rsidRPr="00096FCA">
        <w:rPr>
          <w:rFonts w:cs="Arial"/>
          <w:sz w:val="24"/>
          <w:szCs w:val="24"/>
        </w:rPr>
        <w:t xml:space="preserve">There is currently </w:t>
      </w:r>
      <w:r w:rsidR="00484468">
        <w:rPr>
          <w:rFonts w:cs="Arial"/>
          <w:sz w:val="24"/>
          <w:szCs w:val="24"/>
        </w:rPr>
        <w:t>2 new actions and 1</w:t>
      </w:r>
      <w:r w:rsidR="00DA1700">
        <w:rPr>
          <w:rFonts w:cs="Arial"/>
          <w:sz w:val="24"/>
          <w:szCs w:val="24"/>
        </w:rPr>
        <w:t xml:space="preserve"> ongoing action</w:t>
      </w:r>
      <w:r w:rsidR="004022F0">
        <w:rPr>
          <w:rFonts w:cs="Arial"/>
          <w:sz w:val="24"/>
          <w:szCs w:val="24"/>
        </w:rPr>
        <w:t xml:space="preserve">. </w:t>
      </w:r>
    </w:p>
    <w:p w:rsidR="00096FCA" w:rsidRPr="00096FCA" w:rsidRDefault="00096FCA" w:rsidP="00096FCA">
      <w:pPr>
        <w:spacing w:before="240" w:after="240"/>
        <w:ind w:left="851" w:hanging="851"/>
        <w:jc w:val="both"/>
        <w:rPr>
          <w:rFonts w:cs="Arial"/>
          <w:b/>
          <w:sz w:val="24"/>
          <w:szCs w:val="24"/>
        </w:rPr>
      </w:pPr>
      <w:r w:rsidRPr="00096FCA">
        <w:rPr>
          <w:rFonts w:cs="Arial"/>
          <w:b/>
          <w:sz w:val="24"/>
          <w:szCs w:val="24"/>
        </w:rPr>
        <w:t>4.</w:t>
      </w:r>
      <w:r w:rsidRPr="00096FCA">
        <w:rPr>
          <w:rFonts w:cs="Arial"/>
          <w:b/>
          <w:sz w:val="24"/>
          <w:szCs w:val="24"/>
        </w:rPr>
        <w:tab/>
        <w:t>Recommendation</w:t>
      </w:r>
    </w:p>
    <w:p w:rsidR="00096FCA" w:rsidRPr="00096FCA" w:rsidRDefault="00096FCA" w:rsidP="00096FCA">
      <w:pPr>
        <w:spacing w:after="120"/>
        <w:ind w:left="851" w:hanging="851"/>
        <w:jc w:val="both"/>
        <w:rPr>
          <w:rFonts w:cs="Arial"/>
          <w:sz w:val="24"/>
          <w:szCs w:val="24"/>
        </w:rPr>
      </w:pPr>
      <w:r w:rsidRPr="00096FCA">
        <w:rPr>
          <w:rFonts w:cs="Arial"/>
          <w:sz w:val="24"/>
          <w:szCs w:val="24"/>
        </w:rPr>
        <w:t>4.1</w:t>
      </w:r>
      <w:r w:rsidRPr="00096FCA">
        <w:rPr>
          <w:rFonts w:cs="Arial"/>
          <w:sz w:val="24"/>
          <w:szCs w:val="24"/>
        </w:rPr>
        <w:tab/>
        <w:t>The Committee is recommended to</w:t>
      </w:r>
    </w:p>
    <w:p w:rsidR="00096FCA" w:rsidRDefault="00096FCA" w:rsidP="004C1779">
      <w:pPr>
        <w:spacing w:after="120"/>
        <w:ind w:left="851"/>
        <w:jc w:val="both"/>
      </w:pPr>
      <w:r w:rsidRPr="00096FCA">
        <w:rPr>
          <w:rFonts w:cs="Arial"/>
          <w:sz w:val="24"/>
          <w:szCs w:val="24"/>
        </w:rPr>
        <w:t>a)</w:t>
      </w:r>
      <w:r w:rsidRPr="00096FCA">
        <w:rPr>
          <w:rFonts w:cs="Arial"/>
          <w:sz w:val="24"/>
          <w:szCs w:val="24"/>
        </w:rPr>
        <w:tab/>
        <w:t>Note the report.</w:t>
      </w:r>
    </w:p>
    <w:sectPr w:rsidR="00096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A586D"/>
    <w:multiLevelType w:val="hybridMultilevel"/>
    <w:tmpl w:val="B9740B68"/>
    <w:lvl w:ilvl="0" w:tplc="3C8ADA84">
      <w:start w:val="2"/>
      <w:numFmt w:val="bullet"/>
      <w:lvlText w:val=""/>
      <w:lvlJc w:val="left"/>
      <w:pPr>
        <w:ind w:left="1211" w:hanging="360"/>
      </w:pPr>
      <w:rPr>
        <w:rFonts w:ascii="Symbol" w:eastAsia="Times New Roman"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6CDD2261"/>
    <w:multiLevelType w:val="multilevel"/>
    <w:tmpl w:val="4480723E"/>
    <w:lvl w:ilvl="0">
      <w:start w:val="1"/>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62"/>
    <w:rsid w:val="00096FCA"/>
    <w:rsid w:val="000B7865"/>
    <w:rsid w:val="00166D7F"/>
    <w:rsid w:val="001709AD"/>
    <w:rsid w:val="001A4348"/>
    <w:rsid w:val="0024021F"/>
    <w:rsid w:val="003062FF"/>
    <w:rsid w:val="00344CB5"/>
    <w:rsid w:val="003C3779"/>
    <w:rsid w:val="003E2C02"/>
    <w:rsid w:val="004022F0"/>
    <w:rsid w:val="00483F5F"/>
    <w:rsid w:val="00484468"/>
    <w:rsid w:val="004C1779"/>
    <w:rsid w:val="004F2FCE"/>
    <w:rsid w:val="00596B8B"/>
    <w:rsid w:val="00664B3B"/>
    <w:rsid w:val="006F260C"/>
    <w:rsid w:val="006F48D1"/>
    <w:rsid w:val="007600FE"/>
    <w:rsid w:val="00763BA8"/>
    <w:rsid w:val="00786807"/>
    <w:rsid w:val="00893E99"/>
    <w:rsid w:val="008A080B"/>
    <w:rsid w:val="008E006F"/>
    <w:rsid w:val="00970CE5"/>
    <w:rsid w:val="009B6875"/>
    <w:rsid w:val="009E3639"/>
    <w:rsid w:val="00A5327E"/>
    <w:rsid w:val="00A769EF"/>
    <w:rsid w:val="00AB49F0"/>
    <w:rsid w:val="00AB592A"/>
    <w:rsid w:val="00AF7F9D"/>
    <w:rsid w:val="00B2721D"/>
    <w:rsid w:val="00B75A20"/>
    <w:rsid w:val="00B85D00"/>
    <w:rsid w:val="00BC5AC7"/>
    <w:rsid w:val="00D41436"/>
    <w:rsid w:val="00DA1700"/>
    <w:rsid w:val="00F5578B"/>
    <w:rsid w:val="00FB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1DE83-8937-4040-AA00-8438812C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LEVERSHA, Nancy 8122</dc:creator>
  <cp:keywords/>
  <dc:description/>
  <cp:lastModifiedBy>LEVERSHA, Nancy 8122</cp:lastModifiedBy>
  <cp:revision>2</cp:revision>
  <cp:lastPrinted>2018-05-15T13:37:00Z</cp:lastPrinted>
  <dcterms:created xsi:type="dcterms:W3CDTF">2020-10-23T09:32:00Z</dcterms:created>
  <dcterms:modified xsi:type="dcterms:W3CDTF">2020-10-23T09:32:00Z</dcterms:modified>
</cp:coreProperties>
</file>