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F9DC" w14:textId="123E4E2C" w:rsidR="008161C2" w:rsidRPr="006A022C" w:rsidRDefault="008161C2" w:rsidP="008161C2">
      <w:pPr>
        <w:pStyle w:val="Title"/>
        <w:jc w:val="right"/>
        <w:rPr>
          <w:lang w:val="en-GB"/>
        </w:rPr>
      </w:pPr>
      <w:r>
        <w:rPr>
          <w:lang w:val="en-GB"/>
        </w:rPr>
        <w:t>Appendix 1</w:t>
      </w:r>
    </w:p>
    <w:p w14:paraId="007C8283" w14:textId="6C5D3B94" w:rsidR="00CA25AA" w:rsidRDefault="00A6404C" w:rsidP="008161C2">
      <w:pPr>
        <w:pStyle w:val="Normal-unumbered"/>
        <w:jc w:val="right"/>
      </w:pPr>
      <w:r w:rsidRPr="005C08EA">
        <w:rPr>
          <w:b/>
          <w:noProof/>
          <w:color w:val="000000"/>
          <w:lang w:val="en-GB" w:eastAsia="en-GB"/>
        </w:rPr>
        <w:drawing>
          <wp:anchor distT="0" distB="0" distL="114300" distR="114300" simplePos="0" relativeHeight="251659264" behindDoc="0" locked="0" layoutInCell="1" allowOverlap="1" wp14:anchorId="742B3231" wp14:editId="257E3DBB">
            <wp:simplePos x="0" y="0"/>
            <wp:positionH relativeFrom="column">
              <wp:posOffset>-69105</wp:posOffset>
            </wp:positionH>
            <wp:positionV relativeFrom="paragraph">
              <wp:posOffset>270179</wp:posOffset>
            </wp:positionV>
            <wp:extent cx="1511300" cy="1227455"/>
            <wp:effectExtent l="0" t="0" r="0" b="0"/>
            <wp:wrapNone/>
            <wp:docPr id="1" name="Picture 1" descr="Q:\2016 - NEW COMMISSIONER FOLDER\Engagement\Branding\2016 New brand\OPCC logos\OPCC logo CMYK 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2016 - NEW COMMISSIONER FOLDER\Engagement\Branding\2016 New brand\OPCC logos\OPCC logo CMYK 5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0"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77AAF" w14:textId="06AC0D45" w:rsidR="00CA25AA" w:rsidRDefault="00CA25AA" w:rsidP="005144E9">
      <w:pPr>
        <w:pStyle w:val="Normal-unumbered"/>
      </w:pPr>
    </w:p>
    <w:p w14:paraId="0B1A7407" w14:textId="6DDE63B7" w:rsidR="00CA25AA" w:rsidRDefault="00CA25AA" w:rsidP="005144E9">
      <w:pPr>
        <w:pStyle w:val="Normal-unumbered"/>
      </w:pPr>
    </w:p>
    <w:p w14:paraId="10E1F76E" w14:textId="07228252" w:rsidR="00CA25AA" w:rsidRDefault="00CA25AA" w:rsidP="005144E9">
      <w:pPr>
        <w:pStyle w:val="Normal-unumbered"/>
      </w:pPr>
    </w:p>
    <w:p w14:paraId="47DDE3FE" w14:textId="0AAE84DB" w:rsidR="007A465D" w:rsidRDefault="007A465D" w:rsidP="005144E9">
      <w:pPr>
        <w:pStyle w:val="Normal-unumbered"/>
      </w:pPr>
    </w:p>
    <w:p w14:paraId="265C0448" w14:textId="77777777" w:rsidR="008161C2" w:rsidRDefault="008161C2" w:rsidP="0001796A">
      <w:pPr>
        <w:pStyle w:val="Title"/>
      </w:pPr>
    </w:p>
    <w:p w14:paraId="29D5C853" w14:textId="77777777" w:rsidR="00304130" w:rsidRDefault="00304130" w:rsidP="0001796A">
      <w:pPr>
        <w:pStyle w:val="Title"/>
      </w:pPr>
    </w:p>
    <w:p w14:paraId="270EBC37" w14:textId="71A49AB7" w:rsidR="00936DCB" w:rsidRDefault="0059073C" w:rsidP="0001796A">
      <w:pPr>
        <w:pStyle w:val="Title"/>
        <w:rPr>
          <w:lang w:val="en-GB"/>
        </w:rPr>
      </w:pPr>
      <w:r w:rsidRPr="005349C4">
        <w:t xml:space="preserve">PRECEPT </w:t>
      </w:r>
      <w:r w:rsidR="006057D0">
        <w:rPr>
          <w:lang w:val="en-GB"/>
        </w:rPr>
        <w:t xml:space="preserve">REPORT </w:t>
      </w:r>
      <w:r w:rsidR="00175641">
        <w:t>201</w:t>
      </w:r>
      <w:r w:rsidR="00CE52BC">
        <w:rPr>
          <w:lang w:val="en-GB"/>
        </w:rPr>
        <w:t>9/20</w:t>
      </w:r>
      <w:r w:rsidR="00EA278B">
        <w:rPr>
          <w:lang w:val="en-GB"/>
        </w:rPr>
        <w:t xml:space="preserve"> and Medium Term Financial Strategy</w:t>
      </w:r>
      <w:r w:rsidR="003D4C39">
        <w:rPr>
          <w:lang w:val="en-GB"/>
        </w:rPr>
        <w:t xml:space="preserve"> (MTFS)</w:t>
      </w:r>
    </w:p>
    <w:p w14:paraId="7AB5689B" w14:textId="77777777" w:rsidR="00BD5B1D" w:rsidRDefault="00BD5B1D" w:rsidP="00BD5B1D">
      <w:pPr>
        <w:numPr>
          <w:ilvl w:val="0"/>
          <w:numId w:val="0"/>
        </w:numPr>
        <w:ind w:left="360"/>
        <w:rPr>
          <w:lang w:eastAsia="x-none"/>
        </w:rPr>
      </w:pPr>
    </w:p>
    <w:p w14:paraId="1C7B09C8" w14:textId="29F4EAD7" w:rsidR="00BD5B1D" w:rsidRPr="007F5FA9" w:rsidRDefault="00BD5B1D" w:rsidP="00BD5B1D">
      <w:pPr>
        <w:numPr>
          <w:ilvl w:val="0"/>
          <w:numId w:val="0"/>
        </w:numPr>
        <w:ind w:left="360"/>
        <w:rPr>
          <w:szCs w:val="24"/>
          <w:lang w:eastAsia="x-none"/>
        </w:rPr>
      </w:pPr>
      <w:r w:rsidRPr="007F5FA9">
        <w:rPr>
          <w:b/>
          <w:szCs w:val="24"/>
          <w:lang w:eastAsia="x-none"/>
        </w:rPr>
        <w:t>Th</w:t>
      </w:r>
      <w:r w:rsidR="007F5FA9">
        <w:rPr>
          <w:b/>
          <w:szCs w:val="24"/>
          <w:lang w:eastAsia="x-none"/>
        </w:rPr>
        <w:t xml:space="preserve">e recommendations in this report are </w:t>
      </w:r>
      <w:r w:rsidRPr="007F5FA9">
        <w:rPr>
          <w:b/>
          <w:szCs w:val="24"/>
          <w:lang w:eastAsia="x-none"/>
        </w:rPr>
        <w:t>subject to public consultation</w:t>
      </w:r>
      <w:r w:rsidR="003964DC" w:rsidRPr="007F5FA9">
        <w:rPr>
          <w:b/>
          <w:szCs w:val="24"/>
          <w:lang w:eastAsia="x-none"/>
        </w:rPr>
        <w:t xml:space="preserve"> closing on 28</w:t>
      </w:r>
      <w:r w:rsidR="003964DC" w:rsidRPr="007F5FA9">
        <w:rPr>
          <w:b/>
          <w:szCs w:val="24"/>
          <w:vertAlign w:val="superscript"/>
          <w:lang w:eastAsia="x-none"/>
        </w:rPr>
        <w:t>th</w:t>
      </w:r>
      <w:r w:rsidR="003964DC" w:rsidRPr="007F5FA9">
        <w:rPr>
          <w:b/>
          <w:szCs w:val="24"/>
          <w:lang w:eastAsia="x-none"/>
        </w:rPr>
        <w:t xml:space="preserve"> January 2019</w:t>
      </w:r>
      <w:r w:rsidRPr="007F5FA9">
        <w:rPr>
          <w:b/>
          <w:szCs w:val="24"/>
          <w:lang w:eastAsia="x-none"/>
        </w:rPr>
        <w:t>.</w:t>
      </w:r>
    </w:p>
    <w:p w14:paraId="0972EF86" w14:textId="77777777" w:rsidR="00304130" w:rsidRPr="00304130" w:rsidRDefault="00304130" w:rsidP="00304130">
      <w:pPr>
        <w:numPr>
          <w:ilvl w:val="0"/>
          <w:numId w:val="0"/>
        </w:numPr>
        <w:ind w:left="709" w:hanging="709"/>
        <w:rPr>
          <w:lang w:eastAsia="x-none"/>
        </w:rPr>
      </w:pPr>
    </w:p>
    <w:p w14:paraId="53BDC4D0" w14:textId="500D2684" w:rsidR="00BA41F3" w:rsidRPr="005349C4" w:rsidRDefault="00467017" w:rsidP="00A83F05">
      <w:pPr>
        <w:pStyle w:val="Title"/>
        <w:spacing w:before="240" w:after="0"/>
      </w:pPr>
      <w:r>
        <w:rPr>
          <w:lang w:val="en-GB"/>
        </w:rPr>
        <w:t>1</w:t>
      </w:r>
      <w:r w:rsidR="006057D0">
        <w:rPr>
          <w:lang w:val="en-GB"/>
        </w:rPr>
        <w:t>.</w:t>
      </w:r>
      <w:r w:rsidR="006057D0">
        <w:rPr>
          <w:lang w:val="en-GB"/>
        </w:rPr>
        <w:tab/>
      </w:r>
      <w:r w:rsidR="00BA41F3" w:rsidRPr="005349C4">
        <w:t>Police and Crime Plan</w:t>
      </w:r>
    </w:p>
    <w:p w14:paraId="32343FC6" w14:textId="54CCEA5C" w:rsidR="00C23062" w:rsidRDefault="00467017" w:rsidP="008A3325">
      <w:pPr>
        <w:numPr>
          <w:ilvl w:val="0"/>
          <w:numId w:val="0"/>
        </w:numPr>
        <w:spacing w:before="120"/>
        <w:ind w:left="709" w:hanging="709"/>
      </w:pPr>
      <w:r>
        <w:t>1</w:t>
      </w:r>
      <w:r w:rsidR="006B23EF">
        <w:t>.1</w:t>
      </w:r>
      <w:r w:rsidR="006B23EF">
        <w:tab/>
      </w:r>
      <w:r w:rsidR="00C23062" w:rsidRPr="00AC4439">
        <w:t>The budget enables delivery of the</w:t>
      </w:r>
      <w:r w:rsidR="00E50649">
        <w:t xml:space="preserve"> Police and Crime </w:t>
      </w:r>
      <w:r w:rsidR="00C23062" w:rsidRPr="00AC4439">
        <w:t xml:space="preserve">Commissioner’s </w:t>
      </w:r>
      <w:r w:rsidR="00E50649">
        <w:t xml:space="preserve">(the “Commissioner”) </w:t>
      </w:r>
      <w:r w:rsidR="00C23062" w:rsidRPr="00AC4439">
        <w:t>Police and Crime Plan</w:t>
      </w:r>
      <w:r w:rsidR="008E28C7">
        <w:t xml:space="preserve"> (</w:t>
      </w:r>
      <w:r w:rsidR="00EF275F">
        <w:t xml:space="preserve">the </w:t>
      </w:r>
      <w:r w:rsidR="008E28C7">
        <w:t>“</w:t>
      </w:r>
      <w:r w:rsidR="00EF275F">
        <w:t>Plan”)</w:t>
      </w:r>
      <w:r w:rsidR="00C23062" w:rsidRPr="00AC4439">
        <w:t xml:space="preserve">.  </w:t>
      </w:r>
      <w:r w:rsidR="005D3E57" w:rsidRPr="005D3E57">
        <w:t>The Plan determine</w:t>
      </w:r>
      <w:r w:rsidR="00395FC3">
        <w:t>s</w:t>
      </w:r>
      <w:r w:rsidR="005D3E57" w:rsidRPr="005D3E57">
        <w:t>, direct</w:t>
      </w:r>
      <w:r w:rsidR="00395FC3">
        <w:t>s</w:t>
      </w:r>
      <w:r w:rsidR="005D3E57" w:rsidRPr="005D3E57">
        <w:t xml:space="preserve"> and communicate</w:t>
      </w:r>
      <w:r w:rsidR="00395FC3">
        <w:t>s</w:t>
      </w:r>
      <w:r w:rsidR="005D3E57" w:rsidRPr="005D3E57">
        <w:t xml:space="preserve"> the Commissioner’s priorities during their period in office and set</w:t>
      </w:r>
      <w:r w:rsidR="00E50649">
        <w:t>s</w:t>
      </w:r>
      <w:r w:rsidR="005D3E57" w:rsidRPr="005D3E57">
        <w:t xml:space="preserve"> out for the period:</w:t>
      </w:r>
    </w:p>
    <w:p w14:paraId="2035BE7A" w14:textId="77777777" w:rsidR="005D3E57" w:rsidRDefault="005D3E57" w:rsidP="005D3E57">
      <w:pPr>
        <w:pStyle w:val="BodyTextIndent"/>
        <w:numPr>
          <w:ilvl w:val="0"/>
          <w:numId w:val="29"/>
        </w:numPr>
        <w:tabs>
          <w:tab w:val="left" w:pos="851"/>
        </w:tabs>
        <w:spacing w:before="120"/>
        <w:rPr>
          <w:rFonts w:asciiTheme="minorHAnsi" w:hAnsiTheme="minorHAnsi"/>
          <w:bCs/>
        </w:rPr>
      </w:pPr>
      <w:r>
        <w:rPr>
          <w:rFonts w:asciiTheme="minorHAnsi" w:hAnsiTheme="minorHAnsi"/>
          <w:bCs/>
        </w:rPr>
        <w:t xml:space="preserve">the Commissioner’s </w:t>
      </w:r>
      <w:r w:rsidRPr="00CB2458">
        <w:rPr>
          <w:rFonts w:asciiTheme="minorHAnsi" w:hAnsiTheme="minorHAnsi"/>
          <w:b/>
          <w:bCs/>
        </w:rPr>
        <w:t>police and crime objectives</w:t>
      </w:r>
      <w:r>
        <w:rPr>
          <w:rFonts w:asciiTheme="minorHAnsi" w:hAnsiTheme="minorHAnsi"/>
          <w:bCs/>
        </w:rPr>
        <w:t xml:space="preserve"> for the area </w:t>
      </w:r>
    </w:p>
    <w:p w14:paraId="48D9126E" w14:textId="77777777" w:rsidR="005D3E57" w:rsidRDefault="005D3E57" w:rsidP="005D3E57">
      <w:pPr>
        <w:pStyle w:val="BodyTextIndent"/>
        <w:numPr>
          <w:ilvl w:val="0"/>
          <w:numId w:val="29"/>
        </w:numPr>
        <w:tabs>
          <w:tab w:val="left" w:pos="851"/>
        </w:tabs>
        <w:spacing w:before="120"/>
        <w:rPr>
          <w:rFonts w:asciiTheme="minorHAnsi" w:hAnsiTheme="minorHAnsi"/>
          <w:bCs/>
        </w:rPr>
      </w:pPr>
      <w:r>
        <w:rPr>
          <w:rFonts w:asciiTheme="minorHAnsi" w:hAnsiTheme="minorHAnsi"/>
          <w:bCs/>
        </w:rPr>
        <w:t>the policing of the area which the Chief Constable is to provide</w:t>
      </w:r>
    </w:p>
    <w:p w14:paraId="4AA4E412" w14:textId="256A4AA5" w:rsidR="005D3E57" w:rsidRDefault="005D3E57" w:rsidP="005D3E57">
      <w:pPr>
        <w:pStyle w:val="BodyTextIndent"/>
        <w:numPr>
          <w:ilvl w:val="0"/>
          <w:numId w:val="29"/>
        </w:numPr>
        <w:tabs>
          <w:tab w:val="left" w:pos="851"/>
        </w:tabs>
        <w:spacing w:before="120"/>
        <w:rPr>
          <w:rFonts w:asciiTheme="minorHAnsi" w:hAnsiTheme="minorHAnsi"/>
          <w:bCs/>
        </w:rPr>
      </w:pPr>
      <w:r>
        <w:rPr>
          <w:rFonts w:asciiTheme="minorHAnsi" w:hAnsiTheme="minorHAnsi"/>
          <w:bCs/>
        </w:rPr>
        <w:t xml:space="preserve">the financial and other resources which the Commissioner is to provide </w:t>
      </w:r>
      <w:r w:rsidR="00827D73">
        <w:rPr>
          <w:rFonts w:asciiTheme="minorHAnsi" w:hAnsiTheme="minorHAnsi"/>
          <w:bCs/>
        </w:rPr>
        <w:t xml:space="preserve">to </w:t>
      </w:r>
      <w:r>
        <w:rPr>
          <w:rFonts w:asciiTheme="minorHAnsi" w:hAnsiTheme="minorHAnsi"/>
          <w:bCs/>
        </w:rPr>
        <w:t xml:space="preserve">the Chief Constable </w:t>
      </w:r>
    </w:p>
    <w:p w14:paraId="32CE65C6" w14:textId="77777777" w:rsidR="005D3E57" w:rsidRDefault="005D3E57" w:rsidP="005D3E57">
      <w:pPr>
        <w:pStyle w:val="BodyTextIndent"/>
        <w:numPr>
          <w:ilvl w:val="0"/>
          <w:numId w:val="29"/>
        </w:numPr>
        <w:tabs>
          <w:tab w:val="left" w:pos="851"/>
        </w:tabs>
        <w:spacing w:before="120"/>
        <w:rPr>
          <w:rFonts w:asciiTheme="minorHAnsi" w:hAnsiTheme="minorHAnsi"/>
          <w:bCs/>
        </w:rPr>
      </w:pPr>
      <w:r>
        <w:rPr>
          <w:rFonts w:asciiTheme="minorHAnsi" w:hAnsiTheme="minorHAnsi"/>
          <w:bCs/>
        </w:rPr>
        <w:t xml:space="preserve">the means by which the Chief Constable will report to the Commissioner on the provision of policing </w:t>
      </w:r>
    </w:p>
    <w:p w14:paraId="3323319A" w14:textId="77777777" w:rsidR="005D3E57" w:rsidRDefault="005D3E57" w:rsidP="005D3E57">
      <w:pPr>
        <w:pStyle w:val="BodyTextIndent"/>
        <w:numPr>
          <w:ilvl w:val="0"/>
          <w:numId w:val="29"/>
        </w:numPr>
        <w:tabs>
          <w:tab w:val="left" w:pos="851"/>
        </w:tabs>
        <w:spacing w:before="120"/>
        <w:rPr>
          <w:rFonts w:asciiTheme="minorHAnsi" w:hAnsiTheme="minorHAnsi"/>
          <w:bCs/>
        </w:rPr>
      </w:pPr>
      <w:r>
        <w:rPr>
          <w:rFonts w:asciiTheme="minorHAnsi" w:hAnsiTheme="minorHAnsi"/>
          <w:bCs/>
        </w:rPr>
        <w:t>the means by which the Chief Constable’s performance in providing policing will be measured</w:t>
      </w:r>
    </w:p>
    <w:p w14:paraId="68329E29" w14:textId="77777777" w:rsidR="005D3E57" w:rsidRDefault="005D3E57" w:rsidP="005D3E57">
      <w:pPr>
        <w:pStyle w:val="BodyTextIndent"/>
        <w:numPr>
          <w:ilvl w:val="0"/>
          <w:numId w:val="29"/>
        </w:numPr>
        <w:tabs>
          <w:tab w:val="left" w:pos="851"/>
        </w:tabs>
        <w:spacing w:before="120"/>
        <w:rPr>
          <w:rFonts w:asciiTheme="minorHAnsi" w:hAnsiTheme="minorHAnsi"/>
          <w:bCs/>
        </w:rPr>
      </w:pPr>
      <w:r>
        <w:rPr>
          <w:rFonts w:asciiTheme="minorHAnsi" w:hAnsiTheme="minorHAnsi"/>
          <w:bCs/>
        </w:rPr>
        <w:t>the services which the Commissioner is to provide or arrange to support crime and disorder reduction or help victims of witness of crime and anti-social behaviour (</w:t>
      </w:r>
      <w:r w:rsidRPr="006C3378">
        <w:rPr>
          <w:rFonts w:asciiTheme="minorHAnsi" w:hAnsiTheme="minorHAnsi"/>
          <w:b/>
          <w:bCs/>
        </w:rPr>
        <w:t>crime and disorder reduction and victims’ service grants</w:t>
      </w:r>
      <w:r>
        <w:rPr>
          <w:rFonts w:asciiTheme="minorHAnsi" w:hAnsiTheme="minorHAnsi"/>
          <w:bCs/>
        </w:rPr>
        <w:t>).</w:t>
      </w:r>
    </w:p>
    <w:p w14:paraId="78EA7417" w14:textId="1646FE8B" w:rsidR="005D3E57" w:rsidRDefault="005D3E57" w:rsidP="005D3E57">
      <w:pPr>
        <w:pStyle w:val="BodyTextIndent"/>
        <w:numPr>
          <w:ilvl w:val="0"/>
          <w:numId w:val="29"/>
        </w:numPr>
        <w:tabs>
          <w:tab w:val="left" w:pos="851"/>
        </w:tabs>
        <w:spacing w:before="120"/>
        <w:ind w:left="1570" w:hanging="357"/>
        <w:rPr>
          <w:rFonts w:asciiTheme="minorHAnsi" w:hAnsiTheme="minorHAnsi"/>
          <w:bCs/>
        </w:rPr>
      </w:pPr>
      <w:r>
        <w:rPr>
          <w:rFonts w:asciiTheme="minorHAnsi" w:hAnsiTheme="minorHAnsi"/>
          <w:bCs/>
        </w:rPr>
        <w:t>any grants which the Commissioner is to make and the conditions</w:t>
      </w:r>
      <w:r w:rsidR="00827D73">
        <w:rPr>
          <w:rFonts w:asciiTheme="minorHAnsi" w:hAnsiTheme="minorHAnsi"/>
          <w:bCs/>
        </w:rPr>
        <w:t>,</w:t>
      </w:r>
      <w:r>
        <w:rPr>
          <w:rFonts w:asciiTheme="minorHAnsi" w:hAnsiTheme="minorHAnsi"/>
          <w:bCs/>
        </w:rPr>
        <w:t xml:space="preserve"> if any</w:t>
      </w:r>
      <w:r w:rsidR="00827D73">
        <w:rPr>
          <w:rFonts w:asciiTheme="minorHAnsi" w:hAnsiTheme="minorHAnsi"/>
          <w:bCs/>
        </w:rPr>
        <w:t>,</w:t>
      </w:r>
      <w:r>
        <w:rPr>
          <w:rFonts w:asciiTheme="minorHAnsi" w:hAnsiTheme="minorHAnsi"/>
          <w:bCs/>
        </w:rPr>
        <w:t xml:space="preserve"> of those grants. </w:t>
      </w:r>
    </w:p>
    <w:p w14:paraId="195B9337" w14:textId="77777777" w:rsidR="00304130" w:rsidRDefault="00304130" w:rsidP="00304130">
      <w:pPr>
        <w:pStyle w:val="BodyTextIndent"/>
        <w:numPr>
          <w:ilvl w:val="0"/>
          <w:numId w:val="0"/>
        </w:numPr>
        <w:tabs>
          <w:tab w:val="left" w:pos="851"/>
        </w:tabs>
        <w:spacing w:before="120"/>
        <w:ind w:left="1570"/>
        <w:rPr>
          <w:rFonts w:asciiTheme="minorHAnsi" w:hAnsiTheme="minorHAnsi"/>
          <w:bCs/>
        </w:rPr>
      </w:pPr>
    </w:p>
    <w:p w14:paraId="4C872CB6" w14:textId="4946F637" w:rsidR="00584667" w:rsidRDefault="00467017" w:rsidP="00584667">
      <w:pPr>
        <w:numPr>
          <w:ilvl w:val="0"/>
          <w:numId w:val="0"/>
        </w:numPr>
        <w:spacing w:before="120"/>
        <w:ind w:left="709" w:hanging="709"/>
      </w:pPr>
      <w:r>
        <w:t>1</w:t>
      </w:r>
      <w:r w:rsidR="005D3E57" w:rsidRPr="005D3E57">
        <w:t>.2</w:t>
      </w:r>
      <w:r w:rsidR="005D3E57" w:rsidRPr="005D3E57">
        <w:tab/>
      </w:r>
      <w:r w:rsidR="00584667">
        <w:t>The Plan</w:t>
      </w:r>
      <w:r w:rsidR="009E0F02">
        <w:t>’</w:t>
      </w:r>
      <w:r w:rsidR="00584667">
        <w:t>s strategic aims and object</w:t>
      </w:r>
      <w:r w:rsidR="00756FC7">
        <w:t>ives are set out in the diagram overleaf</w:t>
      </w:r>
      <w:r w:rsidR="00584667">
        <w:t xml:space="preserve">. </w:t>
      </w:r>
    </w:p>
    <w:p w14:paraId="34B16DB0" w14:textId="05ED4CA6" w:rsidR="00756FC7" w:rsidRDefault="00756FC7">
      <w:pPr>
        <w:numPr>
          <w:ilvl w:val="0"/>
          <w:numId w:val="0"/>
        </w:numPr>
        <w:spacing w:after="0"/>
        <w:jc w:val="left"/>
      </w:pPr>
    </w:p>
    <w:p w14:paraId="3E52A15F" w14:textId="77777777" w:rsidR="00756FC7" w:rsidRDefault="00756FC7">
      <w:pPr>
        <w:numPr>
          <w:ilvl w:val="0"/>
          <w:numId w:val="0"/>
        </w:numPr>
        <w:spacing w:after="0"/>
        <w:jc w:val="left"/>
        <w:sectPr w:rsidR="00756FC7" w:rsidSect="000A534A">
          <w:headerReference w:type="default" r:id="rId9"/>
          <w:pgSz w:w="11906" w:h="16838"/>
          <w:pgMar w:top="1418" w:right="1418" w:bottom="1418" w:left="1418" w:header="720" w:footer="720" w:gutter="0"/>
          <w:cols w:space="720"/>
          <w:docGrid w:linePitch="326"/>
        </w:sectPr>
      </w:pPr>
    </w:p>
    <w:p w14:paraId="15C9BE53" w14:textId="234916A4" w:rsidR="00756FC7" w:rsidRDefault="00756FC7">
      <w:pPr>
        <w:numPr>
          <w:ilvl w:val="0"/>
          <w:numId w:val="0"/>
        </w:numPr>
        <w:spacing w:after="0"/>
        <w:jc w:val="left"/>
      </w:pPr>
      <w:r>
        <w:rPr>
          <w:noProof/>
        </w:rPr>
        <w:lastRenderedPageBreak/>
        <w:drawing>
          <wp:inline distT="0" distB="0" distL="0" distR="0" wp14:anchorId="45F6511E" wp14:editId="11296F46">
            <wp:extent cx="9239250" cy="541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9458" cy="5525468"/>
                    </a:xfrm>
                    <a:prstGeom prst="rect">
                      <a:avLst/>
                    </a:prstGeom>
                  </pic:spPr>
                </pic:pic>
              </a:graphicData>
            </a:graphic>
          </wp:inline>
        </w:drawing>
      </w:r>
    </w:p>
    <w:p w14:paraId="19ED1EDB" w14:textId="77777777" w:rsidR="00756FC7" w:rsidRDefault="00756FC7">
      <w:pPr>
        <w:numPr>
          <w:ilvl w:val="0"/>
          <w:numId w:val="0"/>
        </w:numPr>
        <w:spacing w:after="0"/>
        <w:jc w:val="left"/>
        <w:sectPr w:rsidR="00756FC7" w:rsidSect="00756FC7">
          <w:pgSz w:w="16838" w:h="11906" w:orient="landscape"/>
          <w:pgMar w:top="1418" w:right="1418" w:bottom="1418" w:left="1418" w:header="720" w:footer="720" w:gutter="0"/>
          <w:cols w:space="720"/>
          <w:docGrid w:linePitch="326"/>
        </w:sectPr>
      </w:pPr>
    </w:p>
    <w:p w14:paraId="07F99796" w14:textId="14581A3C" w:rsidR="00F949CC" w:rsidRDefault="00467017" w:rsidP="00A83F05">
      <w:pPr>
        <w:pStyle w:val="Heading1"/>
        <w:numPr>
          <w:ilvl w:val="0"/>
          <w:numId w:val="0"/>
        </w:numPr>
        <w:tabs>
          <w:tab w:val="left" w:pos="709"/>
        </w:tabs>
        <w:spacing w:before="240" w:after="0"/>
      </w:pPr>
      <w:r>
        <w:lastRenderedPageBreak/>
        <w:t>2</w:t>
      </w:r>
      <w:r w:rsidR="006057D0">
        <w:t>.</w:t>
      </w:r>
      <w:r w:rsidR="006057D0">
        <w:tab/>
      </w:r>
      <w:r w:rsidR="00BA41F3">
        <w:t xml:space="preserve">Budget </w:t>
      </w:r>
      <w:r w:rsidR="004B6CA3">
        <w:t>and Medium Term Financial Strategy</w:t>
      </w:r>
      <w:r w:rsidR="002D64F8">
        <w:t xml:space="preserve"> (MTFS)</w:t>
      </w:r>
      <w:r w:rsidR="004B6CA3">
        <w:t xml:space="preserve"> Development</w:t>
      </w:r>
    </w:p>
    <w:p w14:paraId="630DE1C0" w14:textId="5CBB77F3" w:rsidR="006B23EF" w:rsidRPr="0046146C" w:rsidRDefault="00467017" w:rsidP="00314D52">
      <w:pPr>
        <w:numPr>
          <w:ilvl w:val="0"/>
          <w:numId w:val="0"/>
        </w:numPr>
        <w:spacing w:before="120"/>
        <w:ind w:left="709" w:hanging="709"/>
      </w:pPr>
      <w:r>
        <w:t>2</w:t>
      </w:r>
      <w:r w:rsidR="006B23EF" w:rsidRPr="0046146C">
        <w:t>.1</w:t>
      </w:r>
      <w:r w:rsidR="006B23EF" w:rsidRPr="0046146C">
        <w:tab/>
      </w:r>
      <w:r w:rsidR="00A3422D" w:rsidRPr="002259FE">
        <w:t xml:space="preserve">During the </w:t>
      </w:r>
      <w:r w:rsidR="00A807C9">
        <w:t>summer and autumn 2018</w:t>
      </w:r>
      <w:r w:rsidR="00827D73">
        <w:t>,</w:t>
      </w:r>
      <w:r w:rsidR="00A3422D" w:rsidRPr="002259FE">
        <w:t xml:space="preserve"> the </w:t>
      </w:r>
      <w:r w:rsidR="00175641" w:rsidRPr="002259FE">
        <w:t>Commissioner</w:t>
      </w:r>
      <w:r w:rsidR="00A3422D" w:rsidRPr="002259FE">
        <w:t xml:space="preserve"> ov</w:t>
      </w:r>
      <w:r w:rsidR="00175641" w:rsidRPr="002259FE">
        <w:t xml:space="preserve">ersaw work to update the </w:t>
      </w:r>
      <w:r w:rsidR="002259FE" w:rsidRPr="002259FE">
        <w:t>MTF</w:t>
      </w:r>
      <w:r w:rsidR="00467838">
        <w:t>S</w:t>
      </w:r>
      <w:r w:rsidR="002259FE" w:rsidRPr="002259FE">
        <w:t>.</w:t>
      </w:r>
      <w:r w:rsidR="006B23EF" w:rsidRPr="002259FE">
        <w:tab/>
      </w:r>
      <w:r w:rsidR="0011783D" w:rsidRPr="002259FE">
        <w:t>The Provisional 201</w:t>
      </w:r>
      <w:r w:rsidR="00A807C9">
        <w:t>9/20</w:t>
      </w:r>
      <w:r w:rsidR="006E7A10" w:rsidRPr="002259FE">
        <w:t xml:space="preserve"> Police </w:t>
      </w:r>
      <w:r w:rsidR="00534C5E" w:rsidRPr="002259FE">
        <w:t>Grant</w:t>
      </w:r>
      <w:r w:rsidR="006E7A10" w:rsidRPr="002259FE">
        <w:t xml:space="preserve"> Settlement was announced </w:t>
      </w:r>
      <w:r w:rsidR="006E7A10" w:rsidRPr="005F62B6">
        <w:t xml:space="preserve">on </w:t>
      </w:r>
      <w:r w:rsidR="00DC1071" w:rsidRPr="005F62B6">
        <w:t>13</w:t>
      </w:r>
      <w:r w:rsidR="00A807C9" w:rsidRPr="005F62B6">
        <w:t xml:space="preserve"> </w:t>
      </w:r>
      <w:r w:rsidR="002259FE" w:rsidRPr="005F62B6">
        <w:t>December 201</w:t>
      </w:r>
      <w:r w:rsidR="00A807C9" w:rsidRPr="005F62B6">
        <w:t>8</w:t>
      </w:r>
      <w:r w:rsidR="00534C5E" w:rsidRPr="005F62B6">
        <w:t>, stating</w:t>
      </w:r>
      <w:r w:rsidR="006E7A10" w:rsidRPr="005F62B6">
        <w:t xml:space="preserve"> a</w:t>
      </w:r>
      <w:r w:rsidR="00F84325" w:rsidRPr="005F62B6">
        <w:t>n increase</w:t>
      </w:r>
      <w:r w:rsidR="00513161" w:rsidRPr="005F62B6">
        <w:t>d</w:t>
      </w:r>
      <w:r w:rsidR="00F84325" w:rsidRPr="005F62B6">
        <w:t xml:space="preserve"> grant of 1.93%</w:t>
      </w:r>
      <w:r w:rsidR="00904749" w:rsidRPr="005F62B6">
        <w:t>.</w:t>
      </w:r>
      <w:r w:rsidR="002259FE" w:rsidRPr="005F62B6">
        <w:t xml:space="preserve"> </w:t>
      </w:r>
      <w:r w:rsidR="009D2A2D" w:rsidRPr="005F62B6">
        <w:t>The Pr</w:t>
      </w:r>
      <w:r w:rsidR="002259FE" w:rsidRPr="005F62B6">
        <w:t>ovisional Settlement</w:t>
      </w:r>
      <w:r w:rsidR="00E50649" w:rsidRPr="005F62B6">
        <w:t xml:space="preserve"> </w:t>
      </w:r>
      <w:r w:rsidR="00513161" w:rsidRPr="005F62B6">
        <w:t xml:space="preserve">also </w:t>
      </w:r>
      <w:r w:rsidR="00E50649" w:rsidRPr="005F62B6">
        <w:t>gave al</w:t>
      </w:r>
      <w:r w:rsidR="00513161" w:rsidRPr="005F62B6">
        <w:t>l Police and Crime Commissioner</w:t>
      </w:r>
      <w:r w:rsidR="00E50649" w:rsidRPr="005F62B6">
        <w:t xml:space="preserve">s </w:t>
      </w:r>
      <w:r w:rsidR="00904749" w:rsidRPr="005F62B6">
        <w:t>the flexibility to increase t</w:t>
      </w:r>
      <w:r w:rsidR="00A807C9" w:rsidRPr="005F62B6">
        <w:t>he council tax</w:t>
      </w:r>
      <w:r w:rsidR="00A807C9">
        <w:t xml:space="preserve"> precept </w:t>
      </w:r>
      <w:r w:rsidR="00827D73">
        <w:t xml:space="preserve">by </w:t>
      </w:r>
      <w:r w:rsidR="00A807C9">
        <w:t>up to £24 for 2019</w:t>
      </w:r>
      <w:r w:rsidR="00904749" w:rsidRPr="00904749">
        <w:t>/</w:t>
      </w:r>
      <w:r w:rsidR="00A807C9">
        <w:t>20</w:t>
      </w:r>
      <w:r w:rsidR="00904749" w:rsidRPr="00904749">
        <w:t>.</w:t>
      </w:r>
      <w:r w:rsidR="00E3477A" w:rsidRPr="00904749">
        <w:t xml:space="preserve"> </w:t>
      </w:r>
      <w:r w:rsidR="00617392" w:rsidRPr="00904749">
        <w:t xml:space="preserve"> </w:t>
      </w:r>
      <w:r w:rsidR="000E2423" w:rsidRPr="00904749">
        <w:t xml:space="preserve">  </w:t>
      </w:r>
    </w:p>
    <w:p w14:paraId="269A78D7" w14:textId="7058EF2E" w:rsidR="006057D0" w:rsidRPr="00E02EAE" w:rsidRDefault="00467017" w:rsidP="009B4428">
      <w:pPr>
        <w:numPr>
          <w:ilvl w:val="0"/>
          <w:numId w:val="0"/>
        </w:numPr>
        <w:spacing w:before="120"/>
        <w:ind w:left="709" w:hanging="709"/>
      </w:pPr>
      <w:r>
        <w:t>2</w:t>
      </w:r>
      <w:r w:rsidR="006B23EF" w:rsidRPr="00E02EAE">
        <w:t>.</w:t>
      </w:r>
      <w:r w:rsidR="00AC79FB">
        <w:t>2</w:t>
      </w:r>
      <w:r w:rsidR="006B23EF" w:rsidRPr="00E02EAE">
        <w:tab/>
      </w:r>
      <w:r w:rsidR="002D64F8">
        <w:t>The MTFS</w:t>
      </w:r>
      <w:r w:rsidR="00DE7D96">
        <w:t xml:space="preserve"> at </w:t>
      </w:r>
      <w:r w:rsidR="00DE7D96" w:rsidRPr="008161C2">
        <w:t xml:space="preserve">Appendix </w:t>
      </w:r>
      <w:r w:rsidR="008161C2" w:rsidRPr="008161C2">
        <w:t>2</w:t>
      </w:r>
      <w:r w:rsidR="008D68C9" w:rsidRPr="00E02EAE">
        <w:t xml:space="preserve"> sets out </w:t>
      </w:r>
      <w:r w:rsidR="00150D23" w:rsidRPr="00E02EAE">
        <w:t xml:space="preserve">the updated </w:t>
      </w:r>
      <w:r w:rsidR="00827D73">
        <w:t>budget for the period</w:t>
      </w:r>
      <w:r w:rsidR="00827D73" w:rsidRPr="00E02EAE">
        <w:t xml:space="preserve"> </w:t>
      </w:r>
      <w:r w:rsidR="00175641" w:rsidRPr="00E02EAE">
        <w:t>201</w:t>
      </w:r>
      <w:r w:rsidR="00A807C9">
        <w:t>9</w:t>
      </w:r>
      <w:r w:rsidR="0011783D">
        <w:t>/</w:t>
      </w:r>
      <w:r w:rsidR="00A807C9">
        <w:t>20</w:t>
      </w:r>
      <w:r w:rsidR="00175641" w:rsidRPr="00E02EAE">
        <w:t xml:space="preserve"> to 20</w:t>
      </w:r>
      <w:r w:rsidR="0011783D">
        <w:t>2</w:t>
      </w:r>
      <w:r w:rsidR="00A807C9">
        <w:t>2</w:t>
      </w:r>
      <w:r w:rsidR="0011783D">
        <w:t>/2</w:t>
      </w:r>
      <w:r w:rsidR="00A807C9">
        <w:t>3</w:t>
      </w:r>
      <w:r w:rsidR="00584667">
        <w:t xml:space="preserve">, </w:t>
      </w:r>
      <w:r w:rsidR="00BE6B02" w:rsidRPr="00E02EAE">
        <w:t xml:space="preserve">which is </w:t>
      </w:r>
      <w:r w:rsidR="008D68C9" w:rsidRPr="00E02EAE">
        <w:t xml:space="preserve">based on detailed budget work undertaken </w:t>
      </w:r>
      <w:r w:rsidR="00FE18EF" w:rsidRPr="00E02EAE">
        <w:t>by</w:t>
      </w:r>
      <w:r w:rsidR="008D68C9" w:rsidRPr="00E02EAE">
        <w:t xml:space="preserve"> the Constabulary</w:t>
      </w:r>
      <w:r w:rsidR="00584667">
        <w:t xml:space="preserve"> and </w:t>
      </w:r>
      <w:r w:rsidR="00E50649">
        <w:t>the Office of the Police and Crime Commissioner (OPCC)</w:t>
      </w:r>
      <w:r w:rsidR="00584667">
        <w:t>.</w:t>
      </w:r>
      <w:r w:rsidR="00BD7661">
        <w:t xml:space="preserve">  </w:t>
      </w:r>
    </w:p>
    <w:p w14:paraId="5F648E29" w14:textId="6BB926D9" w:rsidR="00513161" w:rsidRPr="005F62B6" w:rsidRDefault="00467017" w:rsidP="009D2A2D">
      <w:pPr>
        <w:numPr>
          <w:ilvl w:val="0"/>
          <w:numId w:val="0"/>
        </w:numPr>
        <w:ind w:left="709" w:hanging="709"/>
        <w:rPr>
          <w:szCs w:val="24"/>
        </w:rPr>
      </w:pPr>
      <w:r>
        <w:t>2</w:t>
      </w:r>
      <w:r w:rsidR="00AC79FB">
        <w:t>.3</w:t>
      </w:r>
      <w:r w:rsidR="006B23EF" w:rsidRPr="00E02EAE">
        <w:tab/>
      </w:r>
      <w:r w:rsidR="002D64F8" w:rsidRPr="005F62B6">
        <w:rPr>
          <w:szCs w:val="24"/>
        </w:rPr>
        <w:t>It also</w:t>
      </w:r>
      <w:r w:rsidR="00803688" w:rsidRPr="005F62B6">
        <w:rPr>
          <w:szCs w:val="24"/>
        </w:rPr>
        <w:t xml:space="preserve"> sets out the assumptions </w:t>
      </w:r>
      <w:r w:rsidR="00756FC7" w:rsidRPr="005F62B6">
        <w:rPr>
          <w:szCs w:val="24"/>
        </w:rPr>
        <w:t xml:space="preserve">and information </w:t>
      </w:r>
      <w:r w:rsidR="00855026" w:rsidRPr="005F62B6">
        <w:rPr>
          <w:szCs w:val="24"/>
        </w:rPr>
        <w:t>underpinning the budget and MTF</w:t>
      </w:r>
      <w:r w:rsidR="00584667" w:rsidRPr="005F62B6">
        <w:rPr>
          <w:szCs w:val="24"/>
        </w:rPr>
        <w:t>S</w:t>
      </w:r>
      <w:r w:rsidR="006174B5" w:rsidRPr="005F62B6">
        <w:rPr>
          <w:szCs w:val="24"/>
        </w:rPr>
        <w:t xml:space="preserve">. </w:t>
      </w:r>
    </w:p>
    <w:p w14:paraId="2861D5FD" w14:textId="0FADDC35" w:rsidR="00513161" w:rsidRPr="005F62B6" w:rsidRDefault="00513161" w:rsidP="004507A9">
      <w:pPr>
        <w:pStyle w:val="ListParagraph"/>
        <w:numPr>
          <w:ilvl w:val="0"/>
          <w:numId w:val="39"/>
        </w:numPr>
        <w:rPr>
          <w:sz w:val="24"/>
          <w:szCs w:val="24"/>
        </w:rPr>
      </w:pPr>
      <w:r w:rsidRPr="005F62B6">
        <w:rPr>
          <w:sz w:val="24"/>
          <w:szCs w:val="24"/>
        </w:rPr>
        <w:t>General inflation for</w:t>
      </w:r>
      <w:r w:rsidR="004507A9" w:rsidRPr="005F62B6">
        <w:rPr>
          <w:sz w:val="24"/>
          <w:szCs w:val="24"/>
        </w:rPr>
        <w:t xml:space="preserve"> the period to 2022/23 will be at</w:t>
      </w:r>
      <w:r w:rsidR="004F7D3D">
        <w:rPr>
          <w:sz w:val="24"/>
          <w:szCs w:val="24"/>
        </w:rPr>
        <w:t xml:space="preserve"> 2</w:t>
      </w:r>
      <w:r w:rsidRPr="005F62B6">
        <w:rPr>
          <w:sz w:val="24"/>
          <w:szCs w:val="24"/>
        </w:rPr>
        <w:t>% per annum.</w:t>
      </w:r>
    </w:p>
    <w:p w14:paraId="3156CE12" w14:textId="30FF6677" w:rsidR="00513161" w:rsidRPr="005F62B6" w:rsidRDefault="004507A9" w:rsidP="004507A9">
      <w:pPr>
        <w:pStyle w:val="ListParagraph"/>
        <w:numPr>
          <w:ilvl w:val="0"/>
          <w:numId w:val="39"/>
        </w:numPr>
        <w:rPr>
          <w:sz w:val="24"/>
          <w:szCs w:val="24"/>
        </w:rPr>
      </w:pPr>
      <w:r w:rsidRPr="005F62B6">
        <w:rPr>
          <w:sz w:val="24"/>
          <w:szCs w:val="24"/>
        </w:rPr>
        <w:t>Police officer and</w:t>
      </w:r>
      <w:r w:rsidR="00513161" w:rsidRPr="005F62B6">
        <w:rPr>
          <w:sz w:val="24"/>
          <w:szCs w:val="24"/>
        </w:rPr>
        <w:t xml:space="preserve"> staff pay </w:t>
      </w:r>
      <w:r w:rsidRPr="005F62B6">
        <w:rPr>
          <w:sz w:val="24"/>
          <w:szCs w:val="24"/>
        </w:rPr>
        <w:t xml:space="preserve">for the period to 2022/23 </w:t>
      </w:r>
      <w:r w:rsidR="00513161" w:rsidRPr="005F62B6">
        <w:rPr>
          <w:sz w:val="24"/>
          <w:szCs w:val="24"/>
        </w:rPr>
        <w:t xml:space="preserve">will </w:t>
      </w:r>
      <w:r w:rsidRPr="005F62B6">
        <w:rPr>
          <w:sz w:val="24"/>
          <w:szCs w:val="24"/>
        </w:rPr>
        <w:t>increase</w:t>
      </w:r>
      <w:r w:rsidR="00513161" w:rsidRPr="005F62B6">
        <w:rPr>
          <w:sz w:val="24"/>
          <w:szCs w:val="24"/>
        </w:rPr>
        <w:t xml:space="preserve"> by 2%</w:t>
      </w:r>
      <w:r w:rsidRPr="005F62B6">
        <w:rPr>
          <w:sz w:val="24"/>
          <w:szCs w:val="24"/>
        </w:rPr>
        <w:t xml:space="preserve"> per annum.</w:t>
      </w:r>
    </w:p>
    <w:p w14:paraId="0F1A8DC6" w14:textId="51D60B15" w:rsidR="009D2A2D" w:rsidRPr="005F62B6" w:rsidRDefault="004507A9" w:rsidP="004507A9">
      <w:pPr>
        <w:pStyle w:val="ListParagraph"/>
        <w:numPr>
          <w:ilvl w:val="0"/>
          <w:numId w:val="39"/>
        </w:numPr>
        <w:rPr>
          <w:sz w:val="24"/>
          <w:szCs w:val="24"/>
        </w:rPr>
      </w:pPr>
      <w:r w:rsidRPr="005F62B6">
        <w:rPr>
          <w:sz w:val="24"/>
          <w:szCs w:val="24"/>
        </w:rPr>
        <w:t>The council tax base in 2019/20</w:t>
      </w:r>
      <w:r w:rsidR="00513161" w:rsidRPr="005F62B6">
        <w:rPr>
          <w:sz w:val="24"/>
          <w:szCs w:val="24"/>
        </w:rPr>
        <w:t xml:space="preserve"> is estimated to have increased </w:t>
      </w:r>
      <w:r w:rsidR="005F62B6" w:rsidRPr="005F62B6">
        <w:rPr>
          <w:sz w:val="24"/>
          <w:szCs w:val="24"/>
        </w:rPr>
        <w:t>by 1.5</w:t>
      </w:r>
      <w:r w:rsidR="00C110E7" w:rsidRPr="005F62B6">
        <w:rPr>
          <w:sz w:val="24"/>
          <w:szCs w:val="24"/>
        </w:rPr>
        <w:t>% to 284,128</w:t>
      </w:r>
      <w:r w:rsidR="00513161" w:rsidRPr="005F62B6">
        <w:rPr>
          <w:sz w:val="24"/>
          <w:szCs w:val="24"/>
        </w:rPr>
        <w:t>.</w:t>
      </w:r>
      <w:r w:rsidR="00E1270B" w:rsidRPr="005F62B6">
        <w:rPr>
          <w:sz w:val="24"/>
          <w:szCs w:val="24"/>
        </w:rPr>
        <w:t xml:space="preserve">  At this point housing development is </w:t>
      </w:r>
      <w:r w:rsidR="00513161" w:rsidRPr="005F62B6">
        <w:rPr>
          <w:sz w:val="24"/>
          <w:szCs w:val="24"/>
        </w:rPr>
        <w:t xml:space="preserve">anticipated </w:t>
      </w:r>
      <w:r w:rsidR="00E1270B" w:rsidRPr="005F62B6">
        <w:rPr>
          <w:sz w:val="24"/>
          <w:szCs w:val="24"/>
        </w:rPr>
        <w:t>to continue to grow across the county. T</w:t>
      </w:r>
      <w:r w:rsidR="00513161" w:rsidRPr="005F62B6">
        <w:rPr>
          <w:sz w:val="24"/>
          <w:szCs w:val="24"/>
        </w:rPr>
        <w:t xml:space="preserve">he </w:t>
      </w:r>
      <w:r w:rsidR="00E1270B" w:rsidRPr="005F62B6">
        <w:rPr>
          <w:sz w:val="24"/>
          <w:szCs w:val="24"/>
        </w:rPr>
        <w:t xml:space="preserve">MTFS assumes an </w:t>
      </w:r>
      <w:r w:rsidR="00513161" w:rsidRPr="005F62B6">
        <w:rPr>
          <w:sz w:val="24"/>
          <w:szCs w:val="24"/>
        </w:rPr>
        <w:t xml:space="preserve">estimated </w:t>
      </w:r>
      <w:r w:rsidR="00E1270B" w:rsidRPr="005F62B6">
        <w:rPr>
          <w:sz w:val="24"/>
          <w:szCs w:val="24"/>
        </w:rPr>
        <w:t xml:space="preserve">increase of </w:t>
      </w:r>
      <w:r w:rsidR="00EF10A2">
        <w:rPr>
          <w:sz w:val="24"/>
          <w:szCs w:val="24"/>
        </w:rPr>
        <w:t>1.99</w:t>
      </w:r>
      <w:r w:rsidR="00513161" w:rsidRPr="005F62B6">
        <w:rPr>
          <w:sz w:val="24"/>
          <w:szCs w:val="24"/>
        </w:rPr>
        <w:t xml:space="preserve">% </w:t>
      </w:r>
      <w:r w:rsidR="000F3259" w:rsidRPr="005F62B6">
        <w:rPr>
          <w:sz w:val="24"/>
          <w:szCs w:val="24"/>
        </w:rPr>
        <w:t>for the next three years to</w:t>
      </w:r>
      <w:r w:rsidR="00E1270B" w:rsidRPr="005F62B6">
        <w:rPr>
          <w:sz w:val="24"/>
          <w:szCs w:val="24"/>
        </w:rPr>
        <w:t xml:space="preserve"> 2022/23, however this is subject to ongoing review.</w:t>
      </w:r>
    </w:p>
    <w:p w14:paraId="6F5E1EFD" w14:textId="10C7E156" w:rsidR="009D2A2D" w:rsidRPr="005F62B6" w:rsidRDefault="009D2A2D" w:rsidP="009D2A2D">
      <w:pPr>
        <w:numPr>
          <w:ilvl w:val="0"/>
          <w:numId w:val="22"/>
        </w:numPr>
        <w:spacing w:before="120"/>
        <w:ind w:left="1440"/>
        <w:rPr>
          <w:szCs w:val="24"/>
        </w:rPr>
      </w:pPr>
      <w:r w:rsidRPr="005F62B6">
        <w:rPr>
          <w:szCs w:val="24"/>
        </w:rPr>
        <w:t xml:space="preserve">Victims’ </w:t>
      </w:r>
      <w:r w:rsidR="00381041" w:rsidRPr="005F62B6">
        <w:rPr>
          <w:szCs w:val="24"/>
        </w:rPr>
        <w:t xml:space="preserve">Services </w:t>
      </w:r>
      <w:r w:rsidRPr="005F62B6">
        <w:rPr>
          <w:szCs w:val="24"/>
        </w:rPr>
        <w:t xml:space="preserve">Grant from the Ministry of Justice </w:t>
      </w:r>
      <w:r w:rsidR="00E50649" w:rsidRPr="005F62B6">
        <w:rPr>
          <w:szCs w:val="24"/>
        </w:rPr>
        <w:t xml:space="preserve">(MoJ) </w:t>
      </w:r>
      <w:r w:rsidR="00381041" w:rsidRPr="005F62B6">
        <w:rPr>
          <w:szCs w:val="24"/>
        </w:rPr>
        <w:t xml:space="preserve">has been confirmed for </w:t>
      </w:r>
      <w:r w:rsidR="00827D73">
        <w:rPr>
          <w:szCs w:val="24"/>
        </w:rPr>
        <w:t>20</w:t>
      </w:r>
      <w:r w:rsidR="00304130" w:rsidRPr="005F62B6">
        <w:rPr>
          <w:szCs w:val="24"/>
        </w:rPr>
        <w:t>19/20</w:t>
      </w:r>
      <w:r w:rsidR="00113B70" w:rsidRPr="005F62B6">
        <w:rPr>
          <w:szCs w:val="24"/>
        </w:rPr>
        <w:t xml:space="preserve"> </w:t>
      </w:r>
      <w:r w:rsidR="00381041" w:rsidRPr="005F62B6">
        <w:rPr>
          <w:szCs w:val="24"/>
        </w:rPr>
        <w:t>as £</w:t>
      </w:r>
      <w:r w:rsidR="00304130" w:rsidRPr="005F62B6">
        <w:rPr>
          <w:szCs w:val="24"/>
        </w:rPr>
        <w:t>979</w:t>
      </w:r>
      <w:r w:rsidR="00617392" w:rsidRPr="005F62B6">
        <w:rPr>
          <w:szCs w:val="24"/>
        </w:rPr>
        <w:t>k</w:t>
      </w:r>
      <w:r w:rsidR="00E50649" w:rsidRPr="005F62B6">
        <w:rPr>
          <w:szCs w:val="24"/>
        </w:rPr>
        <w:t>.</w:t>
      </w:r>
    </w:p>
    <w:p w14:paraId="6A4B1FB8" w14:textId="5F1C5B10" w:rsidR="00CC1B73" w:rsidRPr="005F62B6" w:rsidRDefault="005B21EA" w:rsidP="003D301A">
      <w:pPr>
        <w:numPr>
          <w:ilvl w:val="0"/>
          <w:numId w:val="22"/>
        </w:numPr>
        <w:spacing w:before="120"/>
        <w:ind w:left="1440"/>
      </w:pPr>
      <w:r w:rsidRPr="005F62B6">
        <w:t>Provisional n</w:t>
      </w:r>
      <w:r w:rsidR="009D2A2D" w:rsidRPr="005F62B6">
        <w:t>otification of Cambridgeshire’s allocation of the capital grant</w:t>
      </w:r>
      <w:r w:rsidRPr="005F62B6">
        <w:t xml:space="preserve"> has been received and </w:t>
      </w:r>
      <w:r w:rsidR="00224A5B" w:rsidRPr="005F62B6">
        <w:t xml:space="preserve">is the same as </w:t>
      </w:r>
      <w:r w:rsidR="00827D73">
        <w:t>20</w:t>
      </w:r>
      <w:r w:rsidR="00224A5B" w:rsidRPr="005F62B6">
        <w:t>18/19</w:t>
      </w:r>
      <w:r w:rsidRPr="005F62B6">
        <w:t xml:space="preserve"> </w:t>
      </w:r>
      <w:r w:rsidR="00584667" w:rsidRPr="005F62B6">
        <w:t xml:space="preserve">at </w:t>
      </w:r>
      <w:r w:rsidR="00224A5B" w:rsidRPr="005F62B6">
        <w:t>£0.5m</w:t>
      </w:r>
      <w:r w:rsidRPr="005F62B6">
        <w:t>.</w:t>
      </w:r>
    </w:p>
    <w:p w14:paraId="658287B3" w14:textId="77777777" w:rsidR="00304130" w:rsidRPr="005F62B6" w:rsidRDefault="00304130" w:rsidP="00304130">
      <w:pPr>
        <w:numPr>
          <w:ilvl w:val="0"/>
          <w:numId w:val="0"/>
        </w:numPr>
        <w:spacing w:before="120"/>
        <w:ind w:left="709" w:hanging="709"/>
      </w:pPr>
    </w:p>
    <w:p w14:paraId="5B9CCF9E" w14:textId="77777777" w:rsidR="00304130" w:rsidRPr="004507A9" w:rsidRDefault="00304130" w:rsidP="00304130">
      <w:pPr>
        <w:numPr>
          <w:ilvl w:val="0"/>
          <w:numId w:val="0"/>
        </w:numPr>
        <w:spacing w:before="120"/>
        <w:ind w:left="709" w:hanging="709"/>
        <w:rPr>
          <w:highlight w:val="yellow"/>
        </w:rPr>
      </w:pPr>
    </w:p>
    <w:p w14:paraId="07E451A4" w14:textId="701E1FD9" w:rsidR="00AC4439" w:rsidRDefault="00467017" w:rsidP="00314D52">
      <w:pPr>
        <w:numPr>
          <w:ilvl w:val="0"/>
          <w:numId w:val="0"/>
        </w:numPr>
        <w:spacing w:before="120"/>
        <w:ind w:left="709" w:hanging="709"/>
      </w:pPr>
      <w:r>
        <w:t>2</w:t>
      </w:r>
      <w:r w:rsidR="002D64F8">
        <w:t>.4</w:t>
      </w:r>
      <w:r w:rsidR="006B23EF" w:rsidRPr="00E02EAE">
        <w:tab/>
      </w:r>
      <w:r w:rsidR="00FD7A00" w:rsidRPr="00584667">
        <w:rPr>
          <w:b/>
        </w:rPr>
        <w:t>Table 1</w:t>
      </w:r>
      <w:r w:rsidR="00FD7A00" w:rsidRPr="00E02EAE">
        <w:t xml:space="preserve"> </w:t>
      </w:r>
      <w:r w:rsidR="00987475" w:rsidRPr="00E02EAE">
        <w:t>below</w:t>
      </w:r>
      <w:r w:rsidR="00D05206" w:rsidRPr="00E02EAE">
        <w:t xml:space="preserve"> sets out </w:t>
      </w:r>
      <w:r w:rsidR="009037E0" w:rsidRPr="00E02EAE">
        <w:t xml:space="preserve">in broad terms </w:t>
      </w:r>
      <w:r w:rsidR="00D05206" w:rsidRPr="00E02EAE">
        <w:t>how the budget has been balanced</w:t>
      </w:r>
      <w:r w:rsidR="00FE18EF" w:rsidRPr="00E02EAE">
        <w:t xml:space="preserve"> and </w:t>
      </w:r>
      <w:r w:rsidR="00E02E4A" w:rsidRPr="00E02EAE">
        <w:t xml:space="preserve">Table 2 shows a high level analysis of the </w:t>
      </w:r>
      <w:r w:rsidR="00FE18EF" w:rsidRPr="00E02EAE">
        <w:t xml:space="preserve">total </w:t>
      </w:r>
      <w:r w:rsidR="00E02E4A" w:rsidRPr="00E02EAE">
        <w:t>budget.</w:t>
      </w:r>
    </w:p>
    <w:p w14:paraId="51DB431D" w14:textId="77777777" w:rsidR="0060314B" w:rsidRDefault="0060314B" w:rsidP="00314D52">
      <w:pPr>
        <w:numPr>
          <w:ilvl w:val="0"/>
          <w:numId w:val="0"/>
        </w:numPr>
        <w:spacing w:before="120"/>
        <w:ind w:left="709" w:hanging="709"/>
      </w:pPr>
    </w:p>
    <w:p w14:paraId="496FF790" w14:textId="77777777" w:rsidR="007B7961" w:rsidRDefault="007B7961" w:rsidP="00314D52">
      <w:pPr>
        <w:numPr>
          <w:ilvl w:val="0"/>
          <w:numId w:val="0"/>
        </w:numPr>
        <w:spacing w:before="120"/>
        <w:ind w:left="709" w:hanging="709"/>
      </w:pPr>
    </w:p>
    <w:p w14:paraId="67793E34" w14:textId="77777777" w:rsidR="007B7961" w:rsidRDefault="007B7961" w:rsidP="00314D52">
      <w:pPr>
        <w:numPr>
          <w:ilvl w:val="0"/>
          <w:numId w:val="0"/>
        </w:numPr>
        <w:spacing w:before="120"/>
        <w:ind w:left="709" w:hanging="709"/>
      </w:pPr>
    </w:p>
    <w:p w14:paraId="31544A80" w14:textId="77777777" w:rsidR="007B7961" w:rsidRDefault="007B7961" w:rsidP="00314D52">
      <w:pPr>
        <w:numPr>
          <w:ilvl w:val="0"/>
          <w:numId w:val="0"/>
        </w:numPr>
        <w:spacing w:before="120"/>
        <w:ind w:left="709" w:hanging="709"/>
      </w:pPr>
    </w:p>
    <w:p w14:paraId="09BAE2C6" w14:textId="77777777" w:rsidR="007B7961" w:rsidRDefault="007B7961" w:rsidP="00314D52">
      <w:pPr>
        <w:numPr>
          <w:ilvl w:val="0"/>
          <w:numId w:val="0"/>
        </w:numPr>
        <w:spacing w:before="120"/>
        <w:ind w:left="709" w:hanging="709"/>
      </w:pPr>
    </w:p>
    <w:p w14:paraId="619A8A56" w14:textId="77777777" w:rsidR="007B7961" w:rsidRDefault="007B7961" w:rsidP="00314D52">
      <w:pPr>
        <w:numPr>
          <w:ilvl w:val="0"/>
          <w:numId w:val="0"/>
        </w:numPr>
        <w:spacing w:before="120"/>
        <w:ind w:left="709" w:hanging="709"/>
      </w:pPr>
    </w:p>
    <w:p w14:paraId="00B9FF3B" w14:textId="77777777" w:rsidR="007B7961" w:rsidRDefault="007B7961" w:rsidP="00314D52">
      <w:pPr>
        <w:numPr>
          <w:ilvl w:val="0"/>
          <w:numId w:val="0"/>
        </w:numPr>
        <w:spacing w:before="120"/>
        <w:ind w:left="709" w:hanging="709"/>
      </w:pPr>
    </w:p>
    <w:p w14:paraId="7A8122D1" w14:textId="77777777" w:rsidR="007B7961" w:rsidRDefault="007B7961" w:rsidP="00314D52">
      <w:pPr>
        <w:numPr>
          <w:ilvl w:val="0"/>
          <w:numId w:val="0"/>
        </w:numPr>
        <w:spacing w:before="120"/>
        <w:ind w:left="709" w:hanging="709"/>
      </w:pPr>
    </w:p>
    <w:p w14:paraId="4721A875" w14:textId="77777777" w:rsidR="007B7961" w:rsidRDefault="007B7961" w:rsidP="00314D52">
      <w:pPr>
        <w:numPr>
          <w:ilvl w:val="0"/>
          <w:numId w:val="0"/>
        </w:numPr>
        <w:spacing w:before="120"/>
        <w:ind w:left="709" w:hanging="709"/>
      </w:pPr>
    </w:p>
    <w:p w14:paraId="71487189" w14:textId="77777777" w:rsidR="007B7961" w:rsidRDefault="007B7961" w:rsidP="00314D52">
      <w:pPr>
        <w:numPr>
          <w:ilvl w:val="0"/>
          <w:numId w:val="0"/>
        </w:numPr>
        <w:spacing w:before="120"/>
        <w:ind w:left="709" w:hanging="709"/>
      </w:pPr>
    </w:p>
    <w:p w14:paraId="0338773B" w14:textId="77777777" w:rsidR="007B7961" w:rsidRDefault="007B7961" w:rsidP="00314D52">
      <w:pPr>
        <w:numPr>
          <w:ilvl w:val="0"/>
          <w:numId w:val="0"/>
        </w:numPr>
        <w:spacing w:before="120"/>
        <w:ind w:left="709" w:hanging="709"/>
      </w:pPr>
    </w:p>
    <w:p w14:paraId="2842B99F" w14:textId="77777777" w:rsidR="007B7961" w:rsidRDefault="007B7961" w:rsidP="00314D52">
      <w:pPr>
        <w:numPr>
          <w:ilvl w:val="0"/>
          <w:numId w:val="0"/>
        </w:numPr>
        <w:spacing w:before="120"/>
        <w:ind w:left="709" w:hanging="709"/>
      </w:pPr>
    </w:p>
    <w:p w14:paraId="5D1CAD16" w14:textId="36234CC6" w:rsidR="00A83F05" w:rsidRDefault="002D64F8" w:rsidP="00A83F05">
      <w:pPr>
        <w:numPr>
          <w:ilvl w:val="0"/>
          <w:numId w:val="0"/>
        </w:numPr>
        <w:tabs>
          <w:tab w:val="left" w:pos="709"/>
        </w:tabs>
        <w:ind w:left="709" w:hanging="709"/>
        <w:rPr>
          <w:b/>
        </w:rPr>
      </w:pPr>
      <w:r w:rsidRPr="009B1F58">
        <w:rPr>
          <w:b/>
        </w:rPr>
        <w:t>Table 1 –</w:t>
      </w:r>
      <w:r w:rsidR="00FB70FF">
        <w:rPr>
          <w:b/>
        </w:rPr>
        <w:t xml:space="preserve"> Budget changes 2018</w:t>
      </w:r>
      <w:r w:rsidR="00105147" w:rsidRPr="009B1F58">
        <w:rPr>
          <w:b/>
        </w:rPr>
        <w:t>/1</w:t>
      </w:r>
      <w:r w:rsidR="00FB70FF">
        <w:rPr>
          <w:b/>
        </w:rPr>
        <w:t>9</w:t>
      </w:r>
      <w:r w:rsidR="00981689">
        <w:rPr>
          <w:b/>
        </w:rPr>
        <w:t xml:space="preserve"> </w:t>
      </w:r>
      <w:r w:rsidR="00A83F05" w:rsidRPr="009B1F58">
        <w:rPr>
          <w:b/>
        </w:rPr>
        <w:t>to 201</w:t>
      </w:r>
      <w:r w:rsidR="00FB70FF">
        <w:rPr>
          <w:b/>
        </w:rPr>
        <w:t>9</w:t>
      </w:r>
      <w:r w:rsidR="00105147" w:rsidRPr="009B1F58">
        <w:rPr>
          <w:b/>
        </w:rPr>
        <w:t>/</w:t>
      </w:r>
      <w:r w:rsidR="00FB70FF">
        <w:rPr>
          <w:b/>
        </w:rPr>
        <w:t>20</w:t>
      </w:r>
    </w:p>
    <w:p w14:paraId="5241C598" w14:textId="77777777" w:rsidR="003C3500" w:rsidRDefault="003C3500" w:rsidP="00A83F05">
      <w:pPr>
        <w:numPr>
          <w:ilvl w:val="0"/>
          <w:numId w:val="0"/>
        </w:numPr>
        <w:tabs>
          <w:tab w:val="left" w:pos="709"/>
        </w:tabs>
        <w:ind w:left="709" w:hanging="709"/>
        <w:rPr>
          <w:b/>
        </w:rPr>
      </w:pPr>
    </w:p>
    <w:p w14:paraId="40464BAF" w14:textId="77777777" w:rsidR="003C3500" w:rsidRPr="009B1F58" w:rsidRDefault="003C3500" w:rsidP="00A83F05">
      <w:pPr>
        <w:numPr>
          <w:ilvl w:val="0"/>
          <w:numId w:val="0"/>
        </w:numPr>
        <w:tabs>
          <w:tab w:val="left" w:pos="709"/>
        </w:tabs>
        <w:ind w:left="709" w:hanging="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2525"/>
      </w:tblGrid>
      <w:tr w:rsidR="00B77716" w:rsidRPr="0078715D" w14:paraId="71388D03" w14:textId="77777777" w:rsidTr="006267F6">
        <w:tc>
          <w:tcPr>
            <w:tcW w:w="5826" w:type="dxa"/>
            <w:shd w:val="clear" w:color="auto" w:fill="auto"/>
          </w:tcPr>
          <w:p w14:paraId="3028FAC9" w14:textId="77777777" w:rsidR="00A83F05" w:rsidRPr="0078715D" w:rsidRDefault="00A83F05" w:rsidP="00A83F05">
            <w:pPr>
              <w:numPr>
                <w:ilvl w:val="0"/>
                <w:numId w:val="0"/>
              </w:numPr>
              <w:rPr>
                <w:color w:val="FF0000"/>
                <w:szCs w:val="24"/>
              </w:rPr>
            </w:pPr>
          </w:p>
        </w:tc>
        <w:tc>
          <w:tcPr>
            <w:tcW w:w="2525" w:type="dxa"/>
            <w:shd w:val="clear" w:color="auto" w:fill="auto"/>
          </w:tcPr>
          <w:p w14:paraId="2F29CA09" w14:textId="77777777" w:rsidR="00A83F05" w:rsidRPr="0078715D" w:rsidRDefault="00A83F05" w:rsidP="00A83F05">
            <w:pPr>
              <w:numPr>
                <w:ilvl w:val="0"/>
                <w:numId w:val="0"/>
              </w:numPr>
              <w:jc w:val="center"/>
              <w:rPr>
                <w:b/>
                <w:szCs w:val="24"/>
              </w:rPr>
            </w:pPr>
            <w:r w:rsidRPr="0078715D">
              <w:rPr>
                <w:b/>
                <w:szCs w:val="24"/>
              </w:rPr>
              <w:t>£m</w:t>
            </w:r>
          </w:p>
        </w:tc>
      </w:tr>
      <w:tr w:rsidR="00B77716" w:rsidRPr="0078715D" w14:paraId="12ADEEFE" w14:textId="77777777" w:rsidTr="002E2B78">
        <w:tc>
          <w:tcPr>
            <w:tcW w:w="6941" w:type="dxa"/>
            <w:shd w:val="clear" w:color="auto" w:fill="auto"/>
          </w:tcPr>
          <w:p w14:paraId="2186B2D0" w14:textId="763782B5" w:rsidR="00A83F05" w:rsidRPr="0078715D" w:rsidRDefault="00A83F05" w:rsidP="002D64F8">
            <w:pPr>
              <w:numPr>
                <w:ilvl w:val="0"/>
                <w:numId w:val="0"/>
              </w:numPr>
              <w:rPr>
                <w:b/>
                <w:szCs w:val="24"/>
              </w:rPr>
            </w:pPr>
            <w:r w:rsidRPr="0078715D">
              <w:rPr>
                <w:b/>
                <w:szCs w:val="24"/>
              </w:rPr>
              <w:t>B</w:t>
            </w:r>
            <w:r w:rsidR="00105147" w:rsidRPr="0078715D">
              <w:rPr>
                <w:b/>
                <w:szCs w:val="24"/>
              </w:rPr>
              <w:t>udget 201</w:t>
            </w:r>
            <w:r w:rsidR="00304130">
              <w:rPr>
                <w:b/>
                <w:szCs w:val="24"/>
              </w:rPr>
              <w:t>8</w:t>
            </w:r>
            <w:r w:rsidR="00105147" w:rsidRPr="0078715D">
              <w:rPr>
                <w:b/>
                <w:szCs w:val="24"/>
              </w:rPr>
              <w:t>/1</w:t>
            </w:r>
            <w:r w:rsidR="00304130">
              <w:rPr>
                <w:b/>
                <w:szCs w:val="24"/>
              </w:rPr>
              <w:t>9</w:t>
            </w:r>
          </w:p>
        </w:tc>
        <w:tc>
          <w:tcPr>
            <w:tcW w:w="1276" w:type="dxa"/>
            <w:shd w:val="clear" w:color="auto" w:fill="auto"/>
          </w:tcPr>
          <w:p w14:paraId="47869FD1" w14:textId="3E193BA3" w:rsidR="00A83F05" w:rsidRPr="0078715D" w:rsidRDefault="00707E2B" w:rsidP="00A83F05">
            <w:pPr>
              <w:numPr>
                <w:ilvl w:val="0"/>
                <w:numId w:val="0"/>
              </w:numPr>
              <w:jc w:val="right"/>
              <w:rPr>
                <w:b/>
                <w:szCs w:val="24"/>
              </w:rPr>
            </w:pPr>
            <w:r>
              <w:rPr>
                <w:b/>
                <w:szCs w:val="24"/>
              </w:rPr>
              <w:t>137</w:t>
            </w:r>
            <w:r w:rsidR="009B1F58">
              <w:rPr>
                <w:b/>
                <w:szCs w:val="24"/>
              </w:rPr>
              <w:t>.</w:t>
            </w:r>
            <w:r>
              <w:rPr>
                <w:b/>
                <w:szCs w:val="24"/>
              </w:rPr>
              <w:t>1</w:t>
            </w:r>
          </w:p>
        </w:tc>
      </w:tr>
      <w:tr w:rsidR="00B77716" w:rsidRPr="0078715D" w14:paraId="1B8CF60A" w14:textId="77777777" w:rsidTr="002E2B78">
        <w:tc>
          <w:tcPr>
            <w:tcW w:w="6941" w:type="dxa"/>
            <w:shd w:val="clear" w:color="auto" w:fill="auto"/>
          </w:tcPr>
          <w:p w14:paraId="35B6467D" w14:textId="77777777" w:rsidR="00A83F05" w:rsidRPr="0078715D" w:rsidRDefault="00A83F05" w:rsidP="00A83F05">
            <w:pPr>
              <w:numPr>
                <w:ilvl w:val="0"/>
                <w:numId w:val="0"/>
              </w:numPr>
              <w:rPr>
                <w:b/>
                <w:szCs w:val="24"/>
              </w:rPr>
            </w:pPr>
            <w:r w:rsidRPr="0078715D">
              <w:rPr>
                <w:b/>
                <w:szCs w:val="24"/>
              </w:rPr>
              <w:t xml:space="preserve">Funding Changes </w:t>
            </w:r>
          </w:p>
        </w:tc>
        <w:tc>
          <w:tcPr>
            <w:tcW w:w="1276" w:type="dxa"/>
            <w:shd w:val="clear" w:color="auto" w:fill="auto"/>
          </w:tcPr>
          <w:p w14:paraId="2CBAF670" w14:textId="77777777" w:rsidR="00A83F05" w:rsidRPr="0078715D" w:rsidRDefault="00A83F05" w:rsidP="00A83F05">
            <w:pPr>
              <w:numPr>
                <w:ilvl w:val="0"/>
                <w:numId w:val="0"/>
              </w:numPr>
              <w:rPr>
                <w:szCs w:val="24"/>
              </w:rPr>
            </w:pPr>
          </w:p>
        </w:tc>
      </w:tr>
      <w:tr w:rsidR="00B77716" w:rsidRPr="0078715D" w14:paraId="7DE0D9D9" w14:textId="77777777" w:rsidTr="002E2B78">
        <w:tc>
          <w:tcPr>
            <w:tcW w:w="6941" w:type="dxa"/>
            <w:shd w:val="clear" w:color="auto" w:fill="auto"/>
          </w:tcPr>
          <w:p w14:paraId="09C79ED3" w14:textId="63CE36A3" w:rsidR="00A83F05" w:rsidRPr="0078715D" w:rsidRDefault="00B30537" w:rsidP="00105147">
            <w:pPr>
              <w:numPr>
                <w:ilvl w:val="0"/>
                <w:numId w:val="0"/>
              </w:numPr>
              <w:rPr>
                <w:szCs w:val="24"/>
              </w:rPr>
            </w:pPr>
            <w:r w:rsidRPr="0078715D">
              <w:rPr>
                <w:szCs w:val="24"/>
              </w:rPr>
              <w:t>Increase</w:t>
            </w:r>
            <w:r w:rsidR="00A83F05" w:rsidRPr="0078715D">
              <w:rPr>
                <w:szCs w:val="24"/>
              </w:rPr>
              <w:t xml:space="preserve"> </w:t>
            </w:r>
            <w:r w:rsidR="00105147" w:rsidRPr="0078715D">
              <w:rPr>
                <w:szCs w:val="24"/>
              </w:rPr>
              <w:t>in Formula Grant</w:t>
            </w:r>
          </w:p>
        </w:tc>
        <w:tc>
          <w:tcPr>
            <w:tcW w:w="1276" w:type="dxa"/>
            <w:shd w:val="clear" w:color="auto" w:fill="auto"/>
          </w:tcPr>
          <w:p w14:paraId="4A24B92D" w14:textId="69902637" w:rsidR="009B1F58" w:rsidRPr="0078715D" w:rsidRDefault="00B30537" w:rsidP="009B1F58">
            <w:pPr>
              <w:numPr>
                <w:ilvl w:val="0"/>
                <w:numId w:val="0"/>
              </w:numPr>
              <w:jc w:val="right"/>
              <w:rPr>
                <w:szCs w:val="24"/>
              </w:rPr>
            </w:pPr>
            <w:r>
              <w:rPr>
                <w:szCs w:val="24"/>
              </w:rPr>
              <w:t>1.5</w:t>
            </w:r>
          </w:p>
        </w:tc>
      </w:tr>
      <w:tr w:rsidR="00A86D9F" w:rsidRPr="0078715D" w14:paraId="6A2EF514" w14:textId="77777777" w:rsidTr="002E2B78">
        <w:tc>
          <w:tcPr>
            <w:tcW w:w="6941" w:type="dxa"/>
            <w:shd w:val="clear" w:color="auto" w:fill="auto"/>
          </w:tcPr>
          <w:p w14:paraId="51AE0885" w14:textId="3C6D9944" w:rsidR="00A86D9F" w:rsidRPr="0078715D" w:rsidRDefault="005651C5" w:rsidP="00A86D9F">
            <w:pPr>
              <w:numPr>
                <w:ilvl w:val="0"/>
                <w:numId w:val="0"/>
              </w:numPr>
              <w:rPr>
                <w:szCs w:val="24"/>
              </w:rPr>
            </w:pPr>
            <w:r>
              <w:rPr>
                <w:szCs w:val="24"/>
              </w:rPr>
              <w:t>Pension Grant</w:t>
            </w:r>
          </w:p>
        </w:tc>
        <w:tc>
          <w:tcPr>
            <w:tcW w:w="1276" w:type="dxa"/>
            <w:shd w:val="clear" w:color="auto" w:fill="auto"/>
          </w:tcPr>
          <w:p w14:paraId="1C89B69A" w14:textId="7998DDAC" w:rsidR="00A86D9F" w:rsidRDefault="00A86D9F" w:rsidP="00F73C26">
            <w:pPr>
              <w:numPr>
                <w:ilvl w:val="0"/>
                <w:numId w:val="0"/>
              </w:numPr>
              <w:jc w:val="right"/>
              <w:rPr>
                <w:szCs w:val="24"/>
              </w:rPr>
            </w:pPr>
            <w:r>
              <w:rPr>
                <w:szCs w:val="24"/>
              </w:rPr>
              <w:t>1.4</w:t>
            </w:r>
          </w:p>
        </w:tc>
      </w:tr>
      <w:tr w:rsidR="00B77716" w:rsidRPr="0078715D" w14:paraId="77D28FAC" w14:textId="77777777" w:rsidTr="002E2B78">
        <w:tc>
          <w:tcPr>
            <w:tcW w:w="6941" w:type="dxa"/>
            <w:shd w:val="clear" w:color="auto" w:fill="auto"/>
          </w:tcPr>
          <w:p w14:paraId="36124641" w14:textId="2CD31538" w:rsidR="00A83F05" w:rsidRPr="0078715D" w:rsidRDefault="00A83F05" w:rsidP="00A83F05">
            <w:pPr>
              <w:numPr>
                <w:ilvl w:val="0"/>
                <w:numId w:val="0"/>
              </w:numPr>
              <w:rPr>
                <w:szCs w:val="24"/>
              </w:rPr>
            </w:pPr>
            <w:r w:rsidRPr="0078715D">
              <w:rPr>
                <w:szCs w:val="24"/>
              </w:rPr>
              <w:t>Increase in Precept</w:t>
            </w:r>
            <w:r w:rsidR="000C1F75" w:rsidRPr="0078715D">
              <w:rPr>
                <w:szCs w:val="24"/>
              </w:rPr>
              <w:t xml:space="preserve"> receipts</w:t>
            </w:r>
          </w:p>
        </w:tc>
        <w:tc>
          <w:tcPr>
            <w:tcW w:w="1276" w:type="dxa"/>
            <w:shd w:val="clear" w:color="auto" w:fill="auto"/>
          </w:tcPr>
          <w:p w14:paraId="761DFF28" w14:textId="281C88DA" w:rsidR="00A83F05" w:rsidRPr="0078715D" w:rsidRDefault="009B18F9" w:rsidP="00F73C26">
            <w:pPr>
              <w:numPr>
                <w:ilvl w:val="0"/>
                <w:numId w:val="0"/>
              </w:numPr>
              <w:jc w:val="right"/>
              <w:rPr>
                <w:szCs w:val="24"/>
              </w:rPr>
            </w:pPr>
            <w:r>
              <w:rPr>
                <w:szCs w:val="24"/>
              </w:rPr>
              <w:t>7.9</w:t>
            </w:r>
          </w:p>
        </w:tc>
      </w:tr>
      <w:tr w:rsidR="00304130" w:rsidRPr="0078715D" w14:paraId="14F7B97C" w14:textId="77777777" w:rsidTr="002E2B78">
        <w:tc>
          <w:tcPr>
            <w:tcW w:w="6941" w:type="dxa"/>
            <w:shd w:val="clear" w:color="auto" w:fill="auto"/>
          </w:tcPr>
          <w:p w14:paraId="2B8AFF35" w14:textId="73F8422C" w:rsidR="00304130" w:rsidRPr="0078715D" w:rsidRDefault="00304130" w:rsidP="009B1F58">
            <w:pPr>
              <w:numPr>
                <w:ilvl w:val="0"/>
                <w:numId w:val="0"/>
              </w:numPr>
              <w:rPr>
                <w:b/>
                <w:szCs w:val="24"/>
              </w:rPr>
            </w:pPr>
            <w:r>
              <w:rPr>
                <w:b/>
                <w:szCs w:val="24"/>
              </w:rPr>
              <w:t>Change in Net Budget requirement</w:t>
            </w:r>
          </w:p>
        </w:tc>
        <w:tc>
          <w:tcPr>
            <w:tcW w:w="1276" w:type="dxa"/>
            <w:shd w:val="clear" w:color="auto" w:fill="auto"/>
          </w:tcPr>
          <w:p w14:paraId="0E6D5F8F" w14:textId="35ABDCC6" w:rsidR="00304130" w:rsidRDefault="00304130" w:rsidP="003C3500">
            <w:pPr>
              <w:numPr>
                <w:ilvl w:val="0"/>
                <w:numId w:val="0"/>
              </w:numPr>
              <w:jc w:val="right"/>
              <w:rPr>
                <w:b/>
                <w:szCs w:val="24"/>
              </w:rPr>
            </w:pPr>
            <w:r>
              <w:rPr>
                <w:b/>
                <w:szCs w:val="24"/>
              </w:rPr>
              <w:t>10.</w:t>
            </w:r>
            <w:r w:rsidR="003C3500">
              <w:rPr>
                <w:b/>
                <w:szCs w:val="24"/>
              </w:rPr>
              <w:t>8</w:t>
            </w:r>
          </w:p>
        </w:tc>
      </w:tr>
      <w:tr w:rsidR="00B77716" w:rsidRPr="0078715D" w14:paraId="6EEADF57" w14:textId="77777777" w:rsidTr="009B18F9">
        <w:tc>
          <w:tcPr>
            <w:tcW w:w="5243" w:type="dxa"/>
            <w:shd w:val="clear" w:color="auto" w:fill="auto"/>
          </w:tcPr>
          <w:p w14:paraId="1F5147B4" w14:textId="1CB3FF60" w:rsidR="00A83F05" w:rsidRPr="0078715D" w:rsidRDefault="00105147" w:rsidP="009B1F58">
            <w:pPr>
              <w:numPr>
                <w:ilvl w:val="0"/>
                <w:numId w:val="0"/>
              </w:numPr>
              <w:rPr>
                <w:b/>
                <w:szCs w:val="24"/>
              </w:rPr>
            </w:pPr>
            <w:r w:rsidRPr="0078715D">
              <w:rPr>
                <w:b/>
                <w:szCs w:val="24"/>
              </w:rPr>
              <w:t>Net Budget Requirement 201</w:t>
            </w:r>
            <w:r w:rsidR="00304130">
              <w:rPr>
                <w:b/>
                <w:szCs w:val="24"/>
              </w:rPr>
              <w:t>9</w:t>
            </w:r>
            <w:r w:rsidRPr="0078715D">
              <w:rPr>
                <w:b/>
                <w:szCs w:val="24"/>
              </w:rPr>
              <w:t>/</w:t>
            </w:r>
            <w:r w:rsidR="00304130">
              <w:rPr>
                <w:b/>
                <w:szCs w:val="24"/>
              </w:rPr>
              <w:t>20</w:t>
            </w:r>
          </w:p>
        </w:tc>
        <w:tc>
          <w:tcPr>
            <w:tcW w:w="3108" w:type="dxa"/>
            <w:shd w:val="clear" w:color="auto" w:fill="auto"/>
          </w:tcPr>
          <w:p w14:paraId="0C388249" w14:textId="71E1ADCE" w:rsidR="00A83F05" w:rsidRPr="0078715D" w:rsidRDefault="00A86D9F" w:rsidP="003C3500">
            <w:pPr>
              <w:numPr>
                <w:ilvl w:val="0"/>
                <w:numId w:val="0"/>
              </w:numPr>
              <w:jc w:val="right"/>
              <w:rPr>
                <w:b/>
                <w:szCs w:val="24"/>
              </w:rPr>
            </w:pPr>
            <w:r>
              <w:rPr>
                <w:b/>
                <w:szCs w:val="24"/>
              </w:rPr>
              <w:t>147</w:t>
            </w:r>
            <w:r w:rsidR="00B30537">
              <w:rPr>
                <w:b/>
                <w:szCs w:val="24"/>
              </w:rPr>
              <w:t>.</w:t>
            </w:r>
            <w:r w:rsidR="003C3500">
              <w:rPr>
                <w:b/>
                <w:szCs w:val="24"/>
              </w:rPr>
              <w:t>9</w:t>
            </w:r>
          </w:p>
        </w:tc>
      </w:tr>
      <w:tr w:rsidR="006267F6" w:rsidRPr="0078715D" w14:paraId="27489583" w14:textId="77777777" w:rsidTr="009B18F9">
        <w:trPr>
          <w:trHeight w:val="60"/>
        </w:trPr>
        <w:tc>
          <w:tcPr>
            <w:tcW w:w="5243" w:type="dxa"/>
            <w:shd w:val="clear" w:color="auto" w:fill="auto"/>
          </w:tcPr>
          <w:p w14:paraId="4E798459" w14:textId="77777777" w:rsidR="006267F6" w:rsidRPr="0078715D" w:rsidRDefault="006267F6" w:rsidP="00A83F05">
            <w:pPr>
              <w:numPr>
                <w:ilvl w:val="0"/>
                <w:numId w:val="0"/>
              </w:numPr>
              <w:rPr>
                <w:szCs w:val="24"/>
              </w:rPr>
            </w:pPr>
          </w:p>
        </w:tc>
        <w:tc>
          <w:tcPr>
            <w:tcW w:w="3108" w:type="dxa"/>
            <w:shd w:val="clear" w:color="auto" w:fill="auto"/>
          </w:tcPr>
          <w:p w14:paraId="26D728E5" w14:textId="77777777" w:rsidR="006267F6" w:rsidRPr="0078715D" w:rsidRDefault="006267F6" w:rsidP="00A83F05">
            <w:pPr>
              <w:numPr>
                <w:ilvl w:val="0"/>
                <w:numId w:val="0"/>
              </w:numPr>
              <w:rPr>
                <w:szCs w:val="24"/>
              </w:rPr>
            </w:pPr>
          </w:p>
        </w:tc>
      </w:tr>
      <w:tr w:rsidR="00B77716" w:rsidRPr="0078715D" w14:paraId="26BD6D3B" w14:textId="77777777" w:rsidTr="009B18F9">
        <w:trPr>
          <w:trHeight w:val="60"/>
        </w:trPr>
        <w:tc>
          <w:tcPr>
            <w:tcW w:w="5243" w:type="dxa"/>
            <w:shd w:val="clear" w:color="auto" w:fill="auto"/>
          </w:tcPr>
          <w:p w14:paraId="43870EFB" w14:textId="2C525DD3" w:rsidR="00A83F05" w:rsidRPr="0078715D" w:rsidRDefault="006267F6" w:rsidP="00A83F05">
            <w:pPr>
              <w:numPr>
                <w:ilvl w:val="0"/>
                <w:numId w:val="0"/>
              </w:numPr>
              <w:rPr>
                <w:szCs w:val="24"/>
              </w:rPr>
            </w:pPr>
            <w:r w:rsidRPr="0078715D">
              <w:rPr>
                <w:b/>
                <w:szCs w:val="24"/>
              </w:rPr>
              <w:t>Budget 201</w:t>
            </w:r>
            <w:r>
              <w:rPr>
                <w:b/>
                <w:szCs w:val="24"/>
              </w:rPr>
              <w:t>8</w:t>
            </w:r>
            <w:r w:rsidRPr="0078715D">
              <w:rPr>
                <w:b/>
                <w:szCs w:val="24"/>
              </w:rPr>
              <w:t>/1</w:t>
            </w:r>
            <w:r>
              <w:rPr>
                <w:b/>
                <w:szCs w:val="24"/>
              </w:rPr>
              <w:t>9</w:t>
            </w:r>
          </w:p>
        </w:tc>
        <w:tc>
          <w:tcPr>
            <w:tcW w:w="3108" w:type="dxa"/>
            <w:shd w:val="clear" w:color="auto" w:fill="auto"/>
          </w:tcPr>
          <w:p w14:paraId="2F568F1F" w14:textId="22D3E43B" w:rsidR="00A83F05" w:rsidRPr="0078715D" w:rsidRDefault="006267F6" w:rsidP="006267F6">
            <w:pPr>
              <w:numPr>
                <w:ilvl w:val="0"/>
                <w:numId w:val="0"/>
              </w:numPr>
              <w:jc w:val="right"/>
              <w:rPr>
                <w:szCs w:val="24"/>
              </w:rPr>
            </w:pPr>
            <w:r>
              <w:rPr>
                <w:b/>
                <w:szCs w:val="24"/>
              </w:rPr>
              <w:t xml:space="preserve"> 137.1</w:t>
            </w:r>
          </w:p>
        </w:tc>
      </w:tr>
      <w:tr w:rsidR="00B77716" w:rsidRPr="0078715D" w14:paraId="061268EF" w14:textId="77777777" w:rsidTr="009B18F9">
        <w:tc>
          <w:tcPr>
            <w:tcW w:w="5243" w:type="dxa"/>
            <w:shd w:val="clear" w:color="auto" w:fill="auto"/>
          </w:tcPr>
          <w:p w14:paraId="4C144986" w14:textId="12B9ECB9" w:rsidR="00A83F05" w:rsidRPr="0078715D" w:rsidRDefault="00A83F05" w:rsidP="00A83F05">
            <w:pPr>
              <w:numPr>
                <w:ilvl w:val="0"/>
                <w:numId w:val="0"/>
              </w:numPr>
              <w:rPr>
                <w:b/>
                <w:szCs w:val="24"/>
              </w:rPr>
            </w:pPr>
            <w:r w:rsidRPr="0078715D">
              <w:rPr>
                <w:b/>
                <w:szCs w:val="24"/>
              </w:rPr>
              <w:t>Net Revenue Expenditure Changes</w:t>
            </w:r>
            <w:r w:rsidR="00394971">
              <w:rPr>
                <w:b/>
                <w:szCs w:val="24"/>
              </w:rPr>
              <w:t xml:space="preserve"> 2019/20</w:t>
            </w:r>
            <w:r w:rsidR="007B7961">
              <w:rPr>
                <w:b/>
                <w:szCs w:val="24"/>
              </w:rPr>
              <w:t>:</w:t>
            </w:r>
          </w:p>
        </w:tc>
        <w:tc>
          <w:tcPr>
            <w:tcW w:w="3108" w:type="dxa"/>
            <w:shd w:val="clear" w:color="auto" w:fill="auto"/>
          </w:tcPr>
          <w:p w14:paraId="41557265" w14:textId="77777777" w:rsidR="00A83F05" w:rsidRPr="0078715D" w:rsidRDefault="00A83F05" w:rsidP="00A83F05">
            <w:pPr>
              <w:numPr>
                <w:ilvl w:val="0"/>
                <w:numId w:val="0"/>
              </w:numPr>
              <w:rPr>
                <w:szCs w:val="24"/>
              </w:rPr>
            </w:pPr>
          </w:p>
        </w:tc>
      </w:tr>
      <w:tr w:rsidR="009B18F9" w:rsidRPr="0078715D" w14:paraId="295B5068" w14:textId="77777777" w:rsidTr="009B18F9">
        <w:tc>
          <w:tcPr>
            <w:tcW w:w="5243" w:type="dxa"/>
            <w:shd w:val="clear" w:color="auto" w:fill="auto"/>
          </w:tcPr>
          <w:p w14:paraId="63D1C389" w14:textId="4542EBD7" w:rsidR="009B18F9" w:rsidRPr="0078715D" w:rsidRDefault="009B18F9" w:rsidP="00A83F05">
            <w:pPr>
              <w:numPr>
                <w:ilvl w:val="0"/>
                <w:numId w:val="0"/>
              </w:numPr>
              <w:rPr>
                <w:szCs w:val="24"/>
              </w:rPr>
            </w:pPr>
            <w:r>
              <w:rPr>
                <w:szCs w:val="24"/>
              </w:rPr>
              <w:t>Increased Pension Costs</w:t>
            </w:r>
          </w:p>
        </w:tc>
        <w:tc>
          <w:tcPr>
            <w:tcW w:w="3108" w:type="dxa"/>
            <w:shd w:val="clear" w:color="auto" w:fill="auto"/>
          </w:tcPr>
          <w:p w14:paraId="01475A2E" w14:textId="335E6A34" w:rsidR="009B18F9" w:rsidRDefault="009B18F9" w:rsidP="003C3500">
            <w:pPr>
              <w:numPr>
                <w:ilvl w:val="0"/>
                <w:numId w:val="0"/>
              </w:numPr>
              <w:jc w:val="right"/>
              <w:rPr>
                <w:szCs w:val="24"/>
              </w:rPr>
            </w:pPr>
            <w:r>
              <w:rPr>
                <w:szCs w:val="24"/>
              </w:rPr>
              <w:t>2.2</w:t>
            </w:r>
          </w:p>
        </w:tc>
      </w:tr>
      <w:tr w:rsidR="009B18F9" w:rsidRPr="0078715D" w14:paraId="6FF26B83" w14:textId="77777777" w:rsidTr="009B18F9">
        <w:tc>
          <w:tcPr>
            <w:tcW w:w="5243" w:type="dxa"/>
            <w:shd w:val="clear" w:color="auto" w:fill="auto"/>
          </w:tcPr>
          <w:p w14:paraId="2F287A61" w14:textId="1FE276F0" w:rsidR="009B18F9" w:rsidRPr="0078715D" w:rsidRDefault="009B18F9" w:rsidP="00A83F05">
            <w:pPr>
              <w:numPr>
                <w:ilvl w:val="0"/>
                <w:numId w:val="0"/>
              </w:numPr>
              <w:rPr>
                <w:szCs w:val="24"/>
              </w:rPr>
            </w:pPr>
            <w:r>
              <w:rPr>
                <w:szCs w:val="24"/>
              </w:rPr>
              <w:t>Recruitment/Increased Officers</w:t>
            </w:r>
          </w:p>
        </w:tc>
        <w:tc>
          <w:tcPr>
            <w:tcW w:w="3108" w:type="dxa"/>
            <w:shd w:val="clear" w:color="auto" w:fill="auto"/>
          </w:tcPr>
          <w:p w14:paraId="3EEB9CFD" w14:textId="4DF99759" w:rsidR="009B18F9" w:rsidRDefault="009B18F9" w:rsidP="003C3500">
            <w:pPr>
              <w:numPr>
                <w:ilvl w:val="0"/>
                <w:numId w:val="0"/>
              </w:numPr>
              <w:jc w:val="right"/>
              <w:rPr>
                <w:szCs w:val="24"/>
              </w:rPr>
            </w:pPr>
            <w:r>
              <w:rPr>
                <w:szCs w:val="24"/>
              </w:rPr>
              <w:t>2.5</w:t>
            </w:r>
          </w:p>
        </w:tc>
      </w:tr>
      <w:tr w:rsidR="00B77716" w:rsidRPr="0078715D" w14:paraId="204582BF" w14:textId="77777777" w:rsidTr="009B18F9">
        <w:tc>
          <w:tcPr>
            <w:tcW w:w="5243" w:type="dxa"/>
            <w:shd w:val="clear" w:color="auto" w:fill="auto"/>
          </w:tcPr>
          <w:p w14:paraId="0B503CF1" w14:textId="2E063916" w:rsidR="00A83F05" w:rsidRPr="0078715D" w:rsidRDefault="00A83F05" w:rsidP="009B18F9">
            <w:pPr>
              <w:numPr>
                <w:ilvl w:val="0"/>
                <w:numId w:val="0"/>
              </w:numPr>
              <w:rPr>
                <w:szCs w:val="24"/>
              </w:rPr>
            </w:pPr>
            <w:r w:rsidRPr="0078715D">
              <w:rPr>
                <w:szCs w:val="24"/>
              </w:rPr>
              <w:t>Inflation</w:t>
            </w:r>
            <w:r w:rsidR="009B18F9">
              <w:rPr>
                <w:szCs w:val="24"/>
              </w:rPr>
              <w:t>ary Pressures</w:t>
            </w:r>
          </w:p>
        </w:tc>
        <w:tc>
          <w:tcPr>
            <w:tcW w:w="3108" w:type="dxa"/>
            <w:shd w:val="clear" w:color="auto" w:fill="auto"/>
          </w:tcPr>
          <w:p w14:paraId="203EB229" w14:textId="614D674B" w:rsidR="00A83F05" w:rsidRPr="0078715D" w:rsidRDefault="009B18F9" w:rsidP="009B18F9">
            <w:pPr>
              <w:numPr>
                <w:ilvl w:val="0"/>
                <w:numId w:val="0"/>
              </w:numPr>
              <w:jc w:val="right"/>
              <w:rPr>
                <w:szCs w:val="24"/>
              </w:rPr>
            </w:pPr>
            <w:r>
              <w:rPr>
                <w:szCs w:val="24"/>
              </w:rPr>
              <w:t>1.2</w:t>
            </w:r>
          </w:p>
        </w:tc>
      </w:tr>
      <w:tr w:rsidR="00DF1741" w:rsidRPr="0078715D" w14:paraId="234CB45F" w14:textId="77777777" w:rsidTr="009B18F9">
        <w:tc>
          <w:tcPr>
            <w:tcW w:w="5243" w:type="dxa"/>
            <w:shd w:val="clear" w:color="auto" w:fill="auto"/>
          </w:tcPr>
          <w:p w14:paraId="750C2C19" w14:textId="730A4B98" w:rsidR="00DF1741" w:rsidRPr="0078715D" w:rsidRDefault="009B18F9" w:rsidP="00A83F05">
            <w:pPr>
              <w:numPr>
                <w:ilvl w:val="0"/>
                <w:numId w:val="0"/>
              </w:numPr>
              <w:rPr>
                <w:szCs w:val="24"/>
              </w:rPr>
            </w:pPr>
            <w:r>
              <w:rPr>
                <w:szCs w:val="24"/>
              </w:rPr>
              <w:t>Growth Pressures e.g.</w:t>
            </w:r>
            <w:r w:rsidR="006267F6">
              <w:rPr>
                <w:szCs w:val="24"/>
              </w:rPr>
              <w:t xml:space="preserve"> </w:t>
            </w:r>
            <w:r>
              <w:rPr>
                <w:szCs w:val="24"/>
              </w:rPr>
              <w:t>demand</w:t>
            </w:r>
            <w:r w:rsidR="009B1F58">
              <w:rPr>
                <w:szCs w:val="24"/>
              </w:rPr>
              <w:t xml:space="preserve"> </w:t>
            </w:r>
          </w:p>
        </w:tc>
        <w:tc>
          <w:tcPr>
            <w:tcW w:w="3108" w:type="dxa"/>
            <w:shd w:val="clear" w:color="auto" w:fill="auto"/>
          </w:tcPr>
          <w:p w14:paraId="6F04B97C" w14:textId="57E197E4" w:rsidR="00DF1741" w:rsidRPr="0078715D" w:rsidRDefault="009B18F9" w:rsidP="00A83F05">
            <w:pPr>
              <w:numPr>
                <w:ilvl w:val="0"/>
                <w:numId w:val="0"/>
              </w:numPr>
              <w:jc w:val="right"/>
              <w:rPr>
                <w:szCs w:val="24"/>
              </w:rPr>
            </w:pPr>
            <w:r>
              <w:rPr>
                <w:szCs w:val="24"/>
              </w:rPr>
              <w:t>1.4</w:t>
            </w:r>
          </w:p>
        </w:tc>
      </w:tr>
      <w:tr w:rsidR="00304130" w:rsidRPr="0078715D" w14:paraId="0F548834" w14:textId="77777777" w:rsidTr="009B18F9">
        <w:tc>
          <w:tcPr>
            <w:tcW w:w="5243" w:type="dxa"/>
            <w:shd w:val="clear" w:color="auto" w:fill="auto"/>
          </w:tcPr>
          <w:p w14:paraId="3BFF6083" w14:textId="2F44D128" w:rsidR="00304130" w:rsidRPr="0078715D" w:rsidRDefault="00304130" w:rsidP="00304130">
            <w:pPr>
              <w:numPr>
                <w:ilvl w:val="0"/>
                <w:numId w:val="0"/>
              </w:numPr>
              <w:rPr>
                <w:b/>
                <w:szCs w:val="24"/>
              </w:rPr>
            </w:pPr>
            <w:r>
              <w:rPr>
                <w:b/>
                <w:szCs w:val="24"/>
              </w:rPr>
              <w:t>Cost Pressures</w:t>
            </w:r>
          </w:p>
        </w:tc>
        <w:tc>
          <w:tcPr>
            <w:tcW w:w="3108" w:type="dxa"/>
            <w:shd w:val="clear" w:color="auto" w:fill="auto"/>
          </w:tcPr>
          <w:p w14:paraId="4F266744" w14:textId="20619CC2" w:rsidR="00304130" w:rsidRPr="0078715D" w:rsidRDefault="009B18F9" w:rsidP="00304130">
            <w:pPr>
              <w:numPr>
                <w:ilvl w:val="0"/>
                <w:numId w:val="0"/>
              </w:numPr>
              <w:jc w:val="right"/>
              <w:rPr>
                <w:szCs w:val="24"/>
              </w:rPr>
            </w:pPr>
            <w:r>
              <w:rPr>
                <w:b/>
                <w:szCs w:val="24"/>
              </w:rPr>
              <w:t>7</w:t>
            </w:r>
            <w:r w:rsidR="00304130">
              <w:rPr>
                <w:b/>
                <w:szCs w:val="24"/>
              </w:rPr>
              <w:t>.</w:t>
            </w:r>
            <w:r w:rsidR="003C3500">
              <w:rPr>
                <w:b/>
                <w:szCs w:val="24"/>
              </w:rPr>
              <w:t>3</w:t>
            </w:r>
          </w:p>
        </w:tc>
      </w:tr>
      <w:tr w:rsidR="009B18F9" w:rsidRPr="0078715D" w14:paraId="1B00F506" w14:textId="77777777" w:rsidTr="009B18F9">
        <w:tc>
          <w:tcPr>
            <w:tcW w:w="5243" w:type="dxa"/>
            <w:shd w:val="clear" w:color="auto" w:fill="auto"/>
          </w:tcPr>
          <w:p w14:paraId="7179A2B2" w14:textId="103A0EFC" w:rsidR="009B18F9" w:rsidRPr="009B18F9" w:rsidRDefault="009B18F9" w:rsidP="00304130">
            <w:pPr>
              <w:numPr>
                <w:ilvl w:val="0"/>
                <w:numId w:val="0"/>
              </w:numPr>
              <w:rPr>
                <w:b/>
                <w:szCs w:val="24"/>
              </w:rPr>
            </w:pPr>
            <w:r w:rsidRPr="009B18F9">
              <w:rPr>
                <w:b/>
                <w:szCs w:val="24"/>
              </w:rPr>
              <w:t>Savings:-</w:t>
            </w:r>
          </w:p>
        </w:tc>
        <w:tc>
          <w:tcPr>
            <w:tcW w:w="3108" w:type="dxa"/>
            <w:shd w:val="clear" w:color="auto" w:fill="auto"/>
          </w:tcPr>
          <w:p w14:paraId="62636AB1" w14:textId="77777777" w:rsidR="009B18F9" w:rsidRDefault="009B18F9" w:rsidP="00304130">
            <w:pPr>
              <w:numPr>
                <w:ilvl w:val="0"/>
                <w:numId w:val="0"/>
              </w:numPr>
              <w:jc w:val="right"/>
              <w:rPr>
                <w:color w:val="FF0000"/>
                <w:szCs w:val="24"/>
              </w:rPr>
            </w:pPr>
          </w:p>
        </w:tc>
      </w:tr>
      <w:tr w:rsidR="009B18F9" w:rsidRPr="0078715D" w14:paraId="04EB0FB1" w14:textId="77777777" w:rsidTr="009B18F9">
        <w:tc>
          <w:tcPr>
            <w:tcW w:w="5243" w:type="dxa"/>
            <w:shd w:val="clear" w:color="auto" w:fill="auto"/>
          </w:tcPr>
          <w:p w14:paraId="5E93D526" w14:textId="61959D31" w:rsidR="009B18F9" w:rsidRPr="0078715D" w:rsidRDefault="009B18F9" w:rsidP="00304130">
            <w:pPr>
              <w:numPr>
                <w:ilvl w:val="0"/>
                <w:numId w:val="0"/>
              </w:numPr>
              <w:rPr>
                <w:szCs w:val="24"/>
              </w:rPr>
            </w:pPr>
            <w:r>
              <w:rPr>
                <w:szCs w:val="24"/>
              </w:rPr>
              <w:t>Local Policing Review</w:t>
            </w:r>
          </w:p>
        </w:tc>
        <w:tc>
          <w:tcPr>
            <w:tcW w:w="3108" w:type="dxa"/>
            <w:shd w:val="clear" w:color="auto" w:fill="auto"/>
          </w:tcPr>
          <w:p w14:paraId="6864FA81" w14:textId="29AEF9E5" w:rsidR="009B18F9" w:rsidRDefault="009B18F9" w:rsidP="00304130">
            <w:pPr>
              <w:numPr>
                <w:ilvl w:val="0"/>
                <w:numId w:val="0"/>
              </w:numPr>
              <w:jc w:val="right"/>
              <w:rPr>
                <w:color w:val="FF0000"/>
                <w:szCs w:val="24"/>
              </w:rPr>
            </w:pPr>
            <w:r>
              <w:rPr>
                <w:color w:val="FF0000"/>
                <w:szCs w:val="24"/>
              </w:rPr>
              <w:t>-1.8</w:t>
            </w:r>
          </w:p>
        </w:tc>
      </w:tr>
      <w:tr w:rsidR="009B18F9" w:rsidRPr="0078715D" w14:paraId="1F4B87AC" w14:textId="77777777" w:rsidTr="009B18F9">
        <w:tc>
          <w:tcPr>
            <w:tcW w:w="5243" w:type="dxa"/>
            <w:shd w:val="clear" w:color="auto" w:fill="auto"/>
          </w:tcPr>
          <w:p w14:paraId="48C5B132" w14:textId="0543118F" w:rsidR="009B18F9" w:rsidRPr="0078715D" w:rsidRDefault="009B18F9" w:rsidP="00304130">
            <w:pPr>
              <w:numPr>
                <w:ilvl w:val="0"/>
                <w:numId w:val="0"/>
              </w:numPr>
              <w:rPr>
                <w:szCs w:val="24"/>
              </w:rPr>
            </w:pPr>
            <w:r>
              <w:rPr>
                <w:szCs w:val="24"/>
              </w:rPr>
              <w:t xml:space="preserve">Supplies </w:t>
            </w:r>
            <w:r w:rsidR="006267F6">
              <w:rPr>
                <w:szCs w:val="24"/>
              </w:rPr>
              <w:t>and Services</w:t>
            </w:r>
          </w:p>
        </w:tc>
        <w:tc>
          <w:tcPr>
            <w:tcW w:w="3108" w:type="dxa"/>
            <w:shd w:val="clear" w:color="auto" w:fill="auto"/>
          </w:tcPr>
          <w:p w14:paraId="632BB855" w14:textId="7905589D" w:rsidR="009B18F9" w:rsidRDefault="006267F6" w:rsidP="00304130">
            <w:pPr>
              <w:numPr>
                <w:ilvl w:val="0"/>
                <w:numId w:val="0"/>
              </w:numPr>
              <w:jc w:val="right"/>
              <w:rPr>
                <w:color w:val="FF0000"/>
                <w:szCs w:val="24"/>
              </w:rPr>
            </w:pPr>
            <w:r>
              <w:rPr>
                <w:color w:val="FF0000"/>
                <w:szCs w:val="24"/>
              </w:rPr>
              <w:t>-0.8</w:t>
            </w:r>
          </w:p>
        </w:tc>
      </w:tr>
      <w:tr w:rsidR="009B18F9" w:rsidRPr="0078715D" w14:paraId="0D1278B8" w14:textId="77777777" w:rsidTr="009B18F9">
        <w:tc>
          <w:tcPr>
            <w:tcW w:w="5243" w:type="dxa"/>
            <w:shd w:val="clear" w:color="auto" w:fill="auto"/>
          </w:tcPr>
          <w:p w14:paraId="2FA08F74" w14:textId="44E58756" w:rsidR="009B18F9" w:rsidRPr="0078715D" w:rsidRDefault="006267F6" w:rsidP="00304130">
            <w:pPr>
              <w:numPr>
                <w:ilvl w:val="0"/>
                <w:numId w:val="0"/>
              </w:numPr>
              <w:rPr>
                <w:szCs w:val="24"/>
              </w:rPr>
            </w:pPr>
            <w:r>
              <w:rPr>
                <w:szCs w:val="24"/>
              </w:rPr>
              <w:t>Estates Rationalisation</w:t>
            </w:r>
          </w:p>
        </w:tc>
        <w:tc>
          <w:tcPr>
            <w:tcW w:w="3108" w:type="dxa"/>
            <w:shd w:val="clear" w:color="auto" w:fill="auto"/>
          </w:tcPr>
          <w:p w14:paraId="3DAC10EF" w14:textId="3485D86B" w:rsidR="009B18F9" w:rsidRDefault="006267F6" w:rsidP="00304130">
            <w:pPr>
              <w:numPr>
                <w:ilvl w:val="0"/>
                <w:numId w:val="0"/>
              </w:numPr>
              <w:jc w:val="right"/>
              <w:rPr>
                <w:color w:val="FF0000"/>
                <w:szCs w:val="24"/>
              </w:rPr>
            </w:pPr>
            <w:r>
              <w:rPr>
                <w:color w:val="FF0000"/>
                <w:szCs w:val="24"/>
              </w:rPr>
              <w:t>-0.2</w:t>
            </w:r>
          </w:p>
        </w:tc>
      </w:tr>
      <w:tr w:rsidR="009B18F9" w:rsidRPr="0078715D" w14:paraId="60A8B966" w14:textId="77777777" w:rsidTr="009B18F9">
        <w:tc>
          <w:tcPr>
            <w:tcW w:w="5243" w:type="dxa"/>
            <w:shd w:val="clear" w:color="auto" w:fill="auto"/>
          </w:tcPr>
          <w:p w14:paraId="0EC4B02A" w14:textId="1565D837" w:rsidR="009B18F9" w:rsidRPr="0078715D" w:rsidRDefault="006267F6" w:rsidP="00304130">
            <w:pPr>
              <w:numPr>
                <w:ilvl w:val="0"/>
                <w:numId w:val="0"/>
              </w:numPr>
              <w:rPr>
                <w:szCs w:val="24"/>
              </w:rPr>
            </w:pPr>
            <w:r>
              <w:rPr>
                <w:szCs w:val="24"/>
              </w:rPr>
              <w:t>Collaboration Savings</w:t>
            </w:r>
          </w:p>
        </w:tc>
        <w:tc>
          <w:tcPr>
            <w:tcW w:w="3108" w:type="dxa"/>
            <w:shd w:val="clear" w:color="auto" w:fill="auto"/>
          </w:tcPr>
          <w:p w14:paraId="2AA6EB97" w14:textId="7F24816E" w:rsidR="009B18F9" w:rsidRDefault="006267F6" w:rsidP="00304130">
            <w:pPr>
              <w:numPr>
                <w:ilvl w:val="0"/>
                <w:numId w:val="0"/>
              </w:numPr>
              <w:jc w:val="right"/>
              <w:rPr>
                <w:color w:val="FF0000"/>
                <w:szCs w:val="24"/>
              </w:rPr>
            </w:pPr>
            <w:r>
              <w:rPr>
                <w:color w:val="FF0000"/>
                <w:szCs w:val="24"/>
              </w:rPr>
              <w:t>-0.7</w:t>
            </w:r>
          </w:p>
        </w:tc>
      </w:tr>
      <w:tr w:rsidR="009B18F9" w:rsidRPr="0078715D" w14:paraId="27BECEBC" w14:textId="77777777" w:rsidTr="009B18F9">
        <w:tc>
          <w:tcPr>
            <w:tcW w:w="5243" w:type="dxa"/>
            <w:shd w:val="clear" w:color="auto" w:fill="auto"/>
          </w:tcPr>
          <w:p w14:paraId="4C735FD3" w14:textId="368655CB" w:rsidR="009B18F9" w:rsidRPr="006267F6" w:rsidRDefault="006267F6" w:rsidP="00304130">
            <w:pPr>
              <w:numPr>
                <w:ilvl w:val="0"/>
                <w:numId w:val="0"/>
              </w:numPr>
              <w:rPr>
                <w:b/>
                <w:szCs w:val="24"/>
              </w:rPr>
            </w:pPr>
            <w:r w:rsidRPr="006267F6">
              <w:rPr>
                <w:b/>
                <w:szCs w:val="24"/>
              </w:rPr>
              <w:t>Total Savings</w:t>
            </w:r>
          </w:p>
        </w:tc>
        <w:tc>
          <w:tcPr>
            <w:tcW w:w="3108" w:type="dxa"/>
            <w:shd w:val="clear" w:color="auto" w:fill="auto"/>
          </w:tcPr>
          <w:p w14:paraId="012FF461" w14:textId="5A9617E6" w:rsidR="009B18F9" w:rsidRPr="00D468C6" w:rsidRDefault="006267F6" w:rsidP="00304130">
            <w:pPr>
              <w:numPr>
                <w:ilvl w:val="0"/>
                <w:numId w:val="0"/>
              </w:numPr>
              <w:jc w:val="right"/>
              <w:rPr>
                <w:b/>
                <w:color w:val="FF0000"/>
                <w:szCs w:val="24"/>
              </w:rPr>
            </w:pPr>
            <w:r w:rsidRPr="00D468C6">
              <w:rPr>
                <w:b/>
                <w:color w:val="FF0000"/>
                <w:szCs w:val="24"/>
              </w:rPr>
              <w:t>-3.5</w:t>
            </w:r>
          </w:p>
        </w:tc>
      </w:tr>
      <w:tr w:rsidR="00304130" w:rsidRPr="0078715D" w14:paraId="56F95947" w14:textId="77777777" w:rsidTr="009B18F9">
        <w:trPr>
          <w:trHeight w:val="193"/>
        </w:trPr>
        <w:tc>
          <w:tcPr>
            <w:tcW w:w="5243" w:type="dxa"/>
            <w:shd w:val="clear" w:color="auto" w:fill="auto"/>
          </w:tcPr>
          <w:p w14:paraId="10E4AD10" w14:textId="45646ED2" w:rsidR="00304130" w:rsidRPr="0078715D" w:rsidRDefault="006267F6" w:rsidP="00304130">
            <w:pPr>
              <w:numPr>
                <w:ilvl w:val="0"/>
                <w:numId w:val="0"/>
              </w:numPr>
              <w:rPr>
                <w:szCs w:val="24"/>
              </w:rPr>
            </w:pPr>
            <w:r w:rsidRPr="0078715D">
              <w:rPr>
                <w:b/>
                <w:szCs w:val="24"/>
              </w:rPr>
              <w:t>Budget 201</w:t>
            </w:r>
            <w:r>
              <w:rPr>
                <w:b/>
                <w:szCs w:val="24"/>
              </w:rPr>
              <w:t>9/20</w:t>
            </w:r>
          </w:p>
        </w:tc>
        <w:tc>
          <w:tcPr>
            <w:tcW w:w="3108" w:type="dxa"/>
            <w:shd w:val="clear" w:color="auto" w:fill="auto"/>
          </w:tcPr>
          <w:p w14:paraId="2FCFEE65" w14:textId="77293CC7" w:rsidR="00304130" w:rsidRDefault="006267F6" w:rsidP="00304130">
            <w:pPr>
              <w:numPr>
                <w:ilvl w:val="0"/>
                <w:numId w:val="0"/>
              </w:numPr>
              <w:jc w:val="right"/>
              <w:rPr>
                <w:b/>
                <w:szCs w:val="24"/>
              </w:rPr>
            </w:pPr>
            <w:r>
              <w:rPr>
                <w:b/>
                <w:szCs w:val="24"/>
              </w:rPr>
              <w:t>147.9</w:t>
            </w:r>
          </w:p>
        </w:tc>
      </w:tr>
    </w:tbl>
    <w:p w14:paraId="2369D5FA" w14:textId="77777777" w:rsidR="009D2A2D" w:rsidRDefault="009D2A2D" w:rsidP="00A83F05">
      <w:pPr>
        <w:numPr>
          <w:ilvl w:val="0"/>
          <w:numId w:val="0"/>
        </w:numPr>
        <w:rPr>
          <w:b/>
          <w:highlight w:val="yellow"/>
        </w:rPr>
      </w:pPr>
    </w:p>
    <w:p w14:paraId="040DA864" w14:textId="77777777" w:rsidR="006267F6" w:rsidRDefault="006267F6" w:rsidP="00A83F05">
      <w:pPr>
        <w:numPr>
          <w:ilvl w:val="0"/>
          <w:numId w:val="0"/>
        </w:numPr>
        <w:rPr>
          <w:b/>
          <w:highlight w:val="yellow"/>
        </w:rPr>
      </w:pPr>
    </w:p>
    <w:p w14:paraId="1B01AED1" w14:textId="77777777" w:rsidR="006267F6" w:rsidRDefault="006267F6" w:rsidP="00A83F05">
      <w:pPr>
        <w:numPr>
          <w:ilvl w:val="0"/>
          <w:numId w:val="0"/>
        </w:numPr>
        <w:rPr>
          <w:b/>
          <w:highlight w:val="yellow"/>
        </w:rPr>
      </w:pPr>
    </w:p>
    <w:p w14:paraId="2A9C3B07" w14:textId="77777777" w:rsidR="006267F6" w:rsidRDefault="006267F6" w:rsidP="00A83F05">
      <w:pPr>
        <w:numPr>
          <w:ilvl w:val="0"/>
          <w:numId w:val="0"/>
        </w:numPr>
        <w:rPr>
          <w:b/>
          <w:highlight w:val="yellow"/>
        </w:rPr>
      </w:pPr>
    </w:p>
    <w:p w14:paraId="469150BD" w14:textId="77777777" w:rsidR="006267F6" w:rsidRDefault="006267F6" w:rsidP="00A83F05">
      <w:pPr>
        <w:numPr>
          <w:ilvl w:val="0"/>
          <w:numId w:val="0"/>
        </w:numPr>
        <w:rPr>
          <w:b/>
          <w:highlight w:val="yellow"/>
        </w:rPr>
      </w:pPr>
    </w:p>
    <w:p w14:paraId="4FD32A4A" w14:textId="77777777" w:rsidR="006267F6" w:rsidRPr="004B2588" w:rsidRDefault="006267F6" w:rsidP="00A83F05">
      <w:pPr>
        <w:numPr>
          <w:ilvl w:val="0"/>
          <w:numId w:val="0"/>
        </w:numPr>
        <w:rPr>
          <w:b/>
          <w:highlight w:val="yellow"/>
        </w:rPr>
      </w:pPr>
    </w:p>
    <w:p w14:paraId="4DA3E937" w14:textId="77777777" w:rsidR="00A83F05" w:rsidRDefault="00A83F05" w:rsidP="00A83F05">
      <w:pPr>
        <w:numPr>
          <w:ilvl w:val="0"/>
          <w:numId w:val="0"/>
        </w:numPr>
        <w:rPr>
          <w:b/>
        </w:rPr>
      </w:pPr>
      <w:r w:rsidRPr="009B1F58">
        <w:rPr>
          <w:b/>
        </w:rPr>
        <w:t>Table 2 – High Level Budget Analysis</w:t>
      </w:r>
    </w:p>
    <w:p w14:paraId="3FAFB1B8" w14:textId="77777777" w:rsidR="003C3500" w:rsidRPr="009B1F58" w:rsidRDefault="003C3500" w:rsidP="00A83F05">
      <w:pPr>
        <w:numPr>
          <w:ilvl w:val="0"/>
          <w:numId w:val="0"/>
        </w:numPr>
        <w:rPr>
          <w:b/>
        </w:rPr>
      </w:pPr>
    </w:p>
    <w:tbl>
      <w:tblPr>
        <w:tblW w:w="8431" w:type="dxa"/>
        <w:tblInd w:w="70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045"/>
        <w:gridCol w:w="1386"/>
      </w:tblGrid>
      <w:tr w:rsidR="00B77716" w:rsidRPr="0078715D" w14:paraId="796BC19E" w14:textId="77777777" w:rsidTr="003C3500">
        <w:trPr>
          <w:trHeight w:val="431"/>
        </w:trPr>
        <w:tc>
          <w:tcPr>
            <w:tcW w:w="7045" w:type="dxa"/>
            <w:shd w:val="clear" w:color="auto" w:fill="auto"/>
          </w:tcPr>
          <w:p w14:paraId="2436C523" w14:textId="77777777" w:rsidR="00A83F05" w:rsidRPr="0078715D" w:rsidRDefault="00A83F05" w:rsidP="00A83F05">
            <w:pPr>
              <w:numPr>
                <w:ilvl w:val="0"/>
                <w:numId w:val="0"/>
              </w:numPr>
            </w:pPr>
          </w:p>
        </w:tc>
        <w:tc>
          <w:tcPr>
            <w:tcW w:w="1386" w:type="dxa"/>
            <w:shd w:val="clear" w:color="auto" w:fill="auto"/>
          </w:tcPr>
          <w:p w14:paraId="6435A79B" w14:textId="77777777" w:rsidR="00A83F05" w:rsidRPr="0078715D" w:rsidRDefault="00A83F05" w:rsidP="00A83F05">
            <w:pPr>
              <w:numPr>
                <w:ilvl w:val="0"/>
                <w:numId w:val="0"/>
              </w:numPr>
              <w:jc w:val="center"/>
              <w:rPr>
                <w:b/>
              </w:rPr>
            </w:pPr>
            <w:r w:rsidRPr="0078715D">
              <w:rPr>
                <w:b/>
              </w:rPr>
              <w:t>£m</w:t>
            </w:r>
          </w:p>
        </w:tc>
      </w:tr>
      <w:tr w:rsidR="00B77716" w:rsidRPr="0078715D" w14:paraId="23C8DDE8" w14:textId="77777777" w:rsidTr="003C3500">
        <w:trPr>
          <w:trHeight w:val="431"/>
        </w:trPr>
        <w:tc>
          <w:tcPr>
            <w:tcW w:w="7045" w:type="dxa"/>
            <w:shd w:val="clear" w:color="auto" w:fill="auto"/>
          </w:tcPr>
          <w:p w14:paraId="35EFC236" w14:textId="77777777" w:rsidR="00A83F05" w:rsidRPr="0078715D" w:rsidRDefault="00A83F05" w:rsidP="00A83F05">
            <w:pPr>
              <w:numPr>
                <w:ilvl w:val="0"/>
                <w:numId w:val="0"/>
              </w:numPr>
            </w:pPr>
            <w:r w:rsidRPr="0078715D">
              <w:t>Policing Budget – delegated to the Chief Constable</w:t>
            </w:r>
          </w:p>
        </w:tc>
        <w:tc>
          <w:tcPr>
            <w:tcW w:w="1386" w:type="dxa"/>
            <w:shd w:val="clear" w:color="auto" w:fill="auto"/>
          </w:tcPr>
          <w:p w14:paraId="49FA562D" w14:textId="101F6FFF" w:rsidR="00A83F05" w:rsidRPr="009B1F58" w:rsidRDefault="00BA3FE9" w:rsidP="003C3500">
            <w:pPr>
              <w:numPr>
                <w:ilvl w:val="0"/>
                <w:numId w:val="0"/>
              </w:numPr>
              <w:jc w:val="right"/>
            </w:pPr>
            <w:r>
              <w:t>143.</w:t>
            </w:r>
            <w:r w:rsidR="003C3500">
              <w:t>2</w:t>
            </w:r>
          </w:p>
        </w:tc>
      </w:tr>
      <w:tr w:rsidR="00B77716" w:rsidRPr="0078715D" w14:paraId="0DB32F6D" w14:textId="77777777" w:rsidTr="003C3500">
        <w:trPr>
          <w:trHeight w:val="431"/>
        </w:trPr>
        <w:tc>
          <w:tcPr>
            <w:tcW w:w="7045" w:type="dxa"/>
            <w:shd w:val="clear" w:color="auto" w:fill="auto"/>
          </w:tcPr>
          <w:p w14:paraId="6BF5D3C9" w14:textId="36DA87B3" w:rsidR="009B1F58" w:rsidRPr="0078715D" w:rsidRDefault="00A83F05" w:rsidP="003C3500">
            <w:pPr>
              <w:numPr>
                <w:ilvl w:val="0"/>
                <w:numId w:val="0"/>
              </w:numPr>
            </w:pPr>
            <w:r w:rsidRPr="0078715D">
              <w:t>Office of the Police and Crime Commissioner</w:t>
            </w:r>
            <w:r w:rsidR="00E50649">
              <w:t xml:space="preserve"> (OPCC)</w:t>
            </w:r>
          </w:p>
        </w:tc>
        <w:tc>
          <w:tcPr>
            <w:tcW w:w="1386" w:type="dxa"/>
            <w:shd w:val="clear" w:color="auto" w:fill="auto"/>
          </w:tcPr>
          <w:p w14:paraId="50CAC34D" w14:textId="7894B192" w:rsidR="009B1F58" w:rsidRPr="009B1F58" w:rsidRDefault="00A83F05" w:rsidP="003C3500">
            <w:pPr>
              <w:numPr>
                <w:ilvl w:val="0"/>
                <w:numId w:val="0"/>
              </w:numPr>
              <w:jc w:val="right"/>
            </w:pPr>
            <w:r w:rsidRPr="009B1F58">
              <w:t>1.</w:t>
            </w:r>
            <w:r w:rsidR="00AD4E70">
              <w:t>2</w:t>
            </w:r>
          </w:p>
        </w:tc>
      </w:tr>
      <w:tr w:rsidR="00B77716" w:rsidRPr="0078715D" w14:paraId="64C042D7" w14:textId="77777777" w:rsidTr="003C3500">
        <w:trPr>
          <w:trHeight w:val="431"/>
        </w:trPr>
        <w:tc>
          <w:tcPr>
            <w:tcW w:w="7045" w:type="dxa"/>
            <w:shd w:val="clear" w:color="auto" w:fill="auto"/>
          </w:tcPr>
          <w:p w14:paraId="2E2F22E5" w14:textId="25E12FB6" w:rsidR="00A83F05" w:rsidRPr="0078715D" w:rsidRDefault="00A83F05" w:rsidP="00A83F05">
            <w:pPr>
              <w:numPr>
                <w:ilvl w:val="0"/>
                <w:numId w:val="0"/>
              </w:numPr>
            </w:pPr>
            <w:r w:rsidRPr="0078715D">
              <w:t>Victim, restorative justice, and crime and disorder grants</w:t>
            </w:r>
          </w:p>
        </w:tc>
        <w:tc>
          <w:tcPr>
            <w:tcW w:w="1386" w:type="dxa"/>
            <w:shd w:val="clear" w:color="auto" w:fill="auto"/>
          </w:tcPr>
          <w:p w14:paraId="615A6ACE" w14:textId="35EC4D84" w:rsidR="00A83F05" w:rsidRPr="009B1F58" w:rsidRDefault="00C36D17" w:rsidP="00F73C26">
            <w:pPr>
              <w:numPr>
                <w:ilvl w:val="0"/>
                <w:numId w:val="0"/>
              </w:numPr>
              <w:jc w:val="right"/>
            </w:pPr>
            <w:r w:rsidRPr="009B1F58">
              <w:t>2.</w:t>
            </w:r>
            <w:r w:rsidR="00BA3FE9">
              <w:t>2</w:t>
            </w:r>
          </w:p>
        </w:tc>
      </w:tr>
      <w:tr w:rsidR="00B77716" w:rsidRPr="0078715D" w14:paraId="5BDAAF14" w14:textId="77777777" w:rsidTr="003C3500">
        <w:trPr>
          <w:trHeight w:val="431"/>
        </w:trPr>
        <w:tc>
          <w:tcPr>
            <w:tcW w:w="7045" w:type="dxa"/>
            <w:shd w:val="clear" w:color="auto" w:fill="auto"/>
          </w:tcPr>
          <w:p w14:paraId="3ED1226C" w14:textId="1BD2197F" w:rsidR="00A83F05" w:rsidRPr="0078715D" w:rsidRDefault="00A83F05" w:rsidP="009B1F58">
            <w:pPr>
              <w:numPr>
                <w:ilvl w:val="0"/>
                <w:numId w:val="0"/>
              </w:numPr>
            </w:pPr>
            <w:r w:rsidRPr="0078715D">
              <w:t xml:space="preserve">Capital Financing </w:t>
            </w:r>
          </w:p>
        </w:tc>
        <w:tc>
          <w:tcPr>
            <w:tcW w:w="1386" w:type="dxa"/>
            <w:shd w:val="clear" w:color="auto" w:fill="auto"/>
          </w:tcPr>
          <w:p w14:paraId="78226DC9" w14:textId="58CD7979" w:rsidR="00A83F05" w:rsidRPr="009B1F58" w:rsidRDefault="007F7C50" w:rsidP="00A83F05">
            <w:pPr>
              <w:numPr>
                <w:ilvl w:val="0"/>
                <w:numId w:val="0"/>
              </w:numPr>
              <w:jc w:val="right"/>
            </w:pPr>
            <w:r w:rsidRPr="009B1F58">
              <w:t>1.</w:t>
            </w:r>
            <w:r w:rsidR="00E874F9">
              <w:t>3</w:t>
            </w:r>
          </w:p>
        </w:tc>
      </w:tr>
      <w:tr w:rsidR="00B77716" w:rsidRPr="0078715D" w14:paraId="60428DDD" w14:textId="77777777" w:rsidTr="003C3500">
        <w:trPr>
          <w:trHeight w:val="419"/>
        </w:trPr>
        <w:tc>
          <w:tcPr>
            <w:tcW w:w="7045" w:type="dxa"/>
            <w:shd w:val="clear" w:color="auto" w:fill="auto"/>
          </w:tcPr>
          <w:p w14:paraId="6F7B843B" w14:textId="749F9831" w:rsidR="00A83F05" w:rsidRPr="0078715D" w:rsidRDefault="00A83F05" w:rsidP="00BA3FE9">
            <w:pPr>
              <w:numPr>
                <w:ilvl w:val="0"/>
                <w:numId w:val="0"/>
              </w:numPr>
              <w:rPr>
                <w:b/>
              </w:rPr>
            </w:pPr>
            <w:r w:rsidRPr="0078715D">
              <w:rPr>
                <w:b/>
              </w:rPr>
              <w:t>Net Budget Requirement</w:t>
            </w:r>
          </w:p>
        </w:tc>
        <w:tc>
          <w:tcPr>
            <w:tcW w:w="1386" w:type="dxa"/>
            <w:shd w:val="clear" w:color="auto" w:fill="auto"/>
          </w:tcPr>
          <w:p w14:paraId="708CAFD6" w14:textId="58C1C696" w:rsidR="00A83F05" w:rsidRPr="009B1F58" w:rsidRDefault="00BA3FE9" w:rsidP="003C3500">
            <w:pPr>
              <w:numPr>
                <w:ilvl w:val="0"/>
                <w:numId w:val="0"/>
              </w:numPr>
              <w:jc w:val="right"/>
              <w:rPr>
                <w:b/>
              </w:rPr>
            </w:pPr>
            <w:r>
              <w:rPr>
                <w:b/>
              </w:rPr>
              <w:t>147.</w:t>
            </w:r>
            <w:r w:rsidR="003C3500">
              <w:rPr>
                <w:b/>
              </w:rPr>
              <w:t>9</w:t>
            </w:r>
          </w:p>
        </w:tc>
      </w:tr>
    </w:tbl>
    <w:p w14:paraId="0A436FEB" w14:textId="6165D972" w:rsidR="000F364E" w:rsidRPr="00A50A01" w:rsidRDefault="004507A9" w:rsidP="00A83F05">
      <w:pPr>
        <w:pStyle w:val="Heading1"/>
        <w:numPr>
          <w:ilvl w:val="0"/>
          <w:numId w:val="0"/>
        </w:numPr>
        <w:spacing w:before="240" w:after="0"/>
      </w:pPr>
      <w:r>
        <w:t>3.</w:t>
      </w:r>
      <w:r w:rsidR="006057D0" w:rsidRPr="00A50A01">
        <w:tab/>
      </w:r>
      <w:r w:rsidR="000F364E" w:rsidRPr="00A50A01">
        <w:t>Precept</w:t>
      </w:r>
      <w:r w:rsidR="006057D0" w:rsidRPr="00A50A01">
        <w:t xml:space="preserve"> 201</w:t>
      </w:r>
      <w:r w:rsidR="003377A3">
        <w:t>9/20</w:t>
      </w:r>
    </w:p>
    <w:p w14:paraId="64B37ED5" w14:textId="315715E1" w:rsidR="004E6DD5" w:rsidRPr="00374826" w:rsidRDefault="004507A9" w:rsidP="004507A9">
      <w:pPr>
        <w:pStyle w:val="Normal-unumbered"/>
        <w:spacing w:before="120"/>
        <w:rPr>
          <w:lang w:val="en-GB"/>
        </w:rPr>
      </w:pPr>
      <w:r>
        <w:rPr>
          <w:lang w:val="en-GB"/>
        </w:rPr>
        <w:t>3</w:t>
      </w:r>
      <w:r w:rsidR="00374826">
        <w:rPr>
          <w:lang w:val="en-GB"/>
        </w:rPr>
        <w:t>.1</w:t>
      </w:r>
      <w:r w:rsidR="00F87ACA">
        <w:rPr>
          <w:lang w:val="en-GB"/>
        </w:rPr>
        <w:tab/>
        <w:t>Since taking o</w:t>
      </w:r>
      <w:r w:rsidR="00374826" w:rsidRPr="00374826">
        <w:rPr>
          <w:lang w:val="en-GB"/>
        </w:rPr>
        <w:t xml:space="preserve">ffice in </w:t>
      </w:r>
      <w:r w:rsidR="0011783D">
        <w:rPr>
          <w:lang w:val="en-GB"/>
        </w:rPr>
        <w:t>May 2016</w:t>
      </w:r>
      <w:r w:rsidR="00374826" w:rsidRPr="00374826">
        <w:rPr>
          <w:lang w:val="en-GB"/>
        </w:rPr>
        <w:t>, the Commissioner has bee</w:t>
      </w:r>
      <w:r w:rsidR="00374826" w:rsidRPr="00F87ACA">
        <w:rPr>
          <w:lang w:val="en-GB"/>
        </w:rPr>
        <w:t>n ensuring that</w:t>
      </w:r>
      <w:r w:rsidR="00F87ACA" w:rsidRPr="00F87ACA">
        <w:rPr>
          <w:lang w:val="en-GB"/>
        </w:rPr>
        <w:t xml:space="preserve">, in the face of complex economic and social pressures, the </w:t>
      </w:r>
      <w:r w:rsidR="00756FC7">
        <w:rPr>
          <w:lang w:val="en-GB"/>
        </w:rPr>
        <w:t>OPCC</w:t>
      </w:r>
      <w:r w:rsidR="00756FC7" w:rsidRPr="00F87ACA">
        <w:rPr>
          <w:lang w:val="en-GB"/>
        </w:rPr>
        <w:t xml:space="preserve"> </w:t>
      </w:r>
      <w:r w:rsidR="00F87ACA" w:rsidRPr="00F87ACA">
        <w:rPr>
          <w:lang w:val="en-GB"/>
        </w:rPr>
        <w:t xml:space="preserve">and </w:t>
      </w:r>
      <w:r w:rsidR="00E50649">
        <w:rPr>
          <w:lang w:val="en-GB"/>
        </w:rPr>
        <w:t xml:space="preserve">the </w:t>
      </w:r>
      <w:r w:rsidR="00F87ACA" w:rsidRPr="00F87ACA">
        <w:rPr>
          <w:lang w:val="en-GB"/>
        </w:rPr>
        <w:t>Constabulary think and act differently and transform the way they work through collaboration and new technology: the police never work in isolation.</w:t>
      </w:r>
    </w:p>
    <w:p w14:paraId="60F0EBDB" w14:textId="595DB16D" w:rsidR="00537120" w:rsidRPr="00374826" w:rsidRDefault="004507A9" w:rsidP="004507A9">
      <w:pPr>
        <w:pStyle w:val="Normal-unumbered"/>
        <w:spacing w:before="120"/>
        <w:rPr>
          <w:lang w:val="en-GB"/>
        </w:rPr>
      </w:pPr>
      <w:r>
        <w:rPr>
          <w:lang w:val="en-GB"/>
        </w:rPr>
        <w:t>3</w:t>
      </w:r>
      <w:r w:rsidR="00DC5D03">
        <w:rPr>
          <w:lang w:val="en-GB"/>
        </w:rPr>
        <w:t>.2</w:t>
      </w:r>
      <w:r w:rsidR="00374826" w:rsidRPr="00374826">
        <w:rPr>
          <w:lang w:val="en-GB"/>
        </w:rPr>
        <w:tab/>
      </w:r>
      <w:r w:rsidR="0011783D">
        <w:rPr>
          <w:lang w:val="en-GB"/>
        </w:rPr>
        <w:t xml:space="preserve">The Commissioner’s </w:t>
      </w:r>
      <w:r w:rsidR="0011783D" w:rsidRPr="0011783D">
        <w:rPr>
          <w:lang w:val="en-GB"/>
        </w:rPr>
        <w:t xml:space="preserve">guiding principle in setting the precept is to </w:t>
      </w:r>
      <w:r w:rsidR="00F23EAA" w:rsidRPr="00374826">
        <w:rPr>
          <w:lang w:val="en-GB"/>
        </w:rPr>
        <w:t xml:space="preserve">ensure </w:t>
      </w:r>
      <w:r w:rsidR="00F23EAA" w:rsidRPr="00285013">
        <w:rPr>
          <w:lang w:val="en-GB"/>
        </w:rPr>
        <w:t>services continue to be protected</w:t>
      </w:r>
      <w:r w:rsidR="00F23EAA">
        <w:rPr>
          <w:lang w:val="en-GB"/>
        </w:rPr>
        <w:t xml:space="preserve"> and to </w:t>
      </w:r>
      <w:r w:rsidR="0011783D" w:rsidRPr="0011783D">
        <w:rPr>
          <w:lang w:val="en-GB"/>
        </w:rPr>
        <w:t>achieve value for money</w:t>
      </w:r>
      <w:r w:rsidR="00F23EAA">
        <w:rPr>
          <w:lang w:val="en-GB"/>
        </w:rPr>
        <w:t xml:space="preserve"> in</w:t>
      </w:r>
      <w:r w:rsidR="0011783D" w:rsidRPr="0011783D">
        <w:rPr>
          <w:lang w:val="en-GB"/>
        </w:rPr>
        <w:t xml:space="preserve"> policing</w:t>
      </w:r>
      <w:r w:rsidR="00F23EAA">
        <w:rPr>
          <w:lang w:val="en-GB"/>
        </w:rPr>
        <w:t>.</w:t>
      </w:r>
      <w:r w:rsidR="00374826" w:rsidRPr="00374826">
        <w:rPr>
          <w:lang w:val="en-GB"/>
        </w:rPr>
        <w:t xml:space="preserve"> </w:t>
      </w:r>
    </w:p>
    <w:p w14:paraId="06B5226B" w14:textId="0EDF8140" w:rsidR="00374826" w:rsidRDefault="004507A9" w:rsidP="00374826">
      <w:pPr>
        <w:numPr>
          <w:ilvl w:val="0"/>
          <w:numId w:val="0"/>
        </w:numPr>
        <w:spacing w:before="120"/>
        <w:ind w:left="709" w:hanging="709"/>
      </w:pPr>
      <w:r>
        <w:t>3</w:t>
      </w:r>
      <w:r w:rsidR="00374826">
        <w:t>.</w:t>
      </w:r>
      <w:r w:rsidR="00DC5D03">
        <w:t>3</w:t>
      </w:r>
      <w:r w:rsidR="00374826" w:rsidRPr="004E2916">
        <w:tab/>
      </w:r>
      <w:r w:rsidR="00374826">
        <w:t xml:space="preserve">The Provisional </w:t>
      </w:r>
      <w:r w:rsidR="009E5E1A">
        <w:t xml:space="preserve">Police Grant </w:t>
      </w:r>
      <w:r w:rsidR="00374826">
        <w:t xml:space="preserve">Settlement </w:t>
      </w:r>
      <w:r w:rsidR="00374826" w:rsidRPr="00F97591">
        <w:t xml:space="preserve">announced </w:t>
      </w:r>
      <w:r>
        <w:t xml:space="preserve">a below level </w:t>
      </w:r>
      <w:r w:rsidR="00DC5D03">
        <w:t xml:space="preserve">of inflation </w:t>
      </w:r>
      <w:r>
        <w:t xml:space="preserve">increase of government grant but also enabled additional funds to be raised locally </w:t>
      </w:r>
      <w:r w:rsidR="00DC5D03">
        <w:t xml:space="preserve">by precept increases </w:t>
      </w:r>
      <w:r>
        <w:t xml:space="preserve">up to a maximum of £2 per month. </w:t>
      </w:r>
    </w:p>
    <w:p w14:paraId="6E33E932" w14:textId="3D234489" w:rsidR="00DC5D03" w:rsidRDefault="00DC5D03" w:rsidP="00374826">
      <w:pPr>
        <w:numPr>
          <w:ilvl w:val="0"/>
          <w:numId w:val="0"/>
        </w:numPr>
        <w:spacing w:before="120"/>
        <w:ind w:left="709" w:hanging="709"/>
      </w:pPr>
      <w:r>
        <w:t xml:space="preserve">3.4 </w:t>
      </w:r>
      <w:r>
        <w:tab/>
        <w:t>The Commissioner is committed to protecting, and strengthening, frontline resources as a consistent message that he receives from the public</w:t>
      </w:r>
      <w:r w:rsidR="000F539C">
        <w:t>,</w:t>
      </w:r>
      <w:r>
        <w:t xml:space="preserve"> is that they want to see more officers in local policing within Cambridgeshire.</w:t>
      </w:r>
    </w:p>
    <w:p w14:paraId="77B523AB" w14:textId="7FADC506" w:rsidR="00DC5D03" w:rsidRPr="00A06745" w:rsidRDefault="00DC5D03" w:rsidP="00374826">
      <w:pPr>
        <w:numPr>
          <w:ilvl w:val="0"/>
          <w:numId w:val="0"/>
        </w:numPr>
        <w:spacing w:before="120"/>
        <w:ind w:left="709" w:hanging="709"/>
      </w:pPr>
      <w:r>
        <w:t>3.5</w:t>
      </w:r>
      <w:r>
        <w:tab/>
        <w:t>Financial modelling indicates that due to existing cost pressures that are outside of the Commissioner or the Chief Constable</w:t>
      </w:r>
      <w:r w:rsidR="001B7C0D">
        <w:t>’</w:t>
      </w:r>
      <w:r>
        <w:t xml:space="preserve">s control, a 2% rise in the local precept would lead to a reduction of around 80 frontline officers. </w:t>
      </w:r>
    </w:p>
    <w:p w14:paraId="6DF61F69" w14:textId="5FAADDF6" w:rsidR="00374826" w:rsidRPr="00327CB1" w:rsidRDefault="004507A9" w:rsidP="00374826">
      <w:pPr>
        <w:numPr>
          <w:ilvl w:val="0"/>
          <w:numId w:val="0"/>
        </w:numPr>
        <w:spacing w:before="120"/>
        <w:ind w:left="709" w:hanging="709"/>
      </w:pPr>
      <w:r>
        <w:t>3</w:t>
      </w:r>
      <w:r w:rsidR="0062351A">
        <w:t>.6</w:t>
      </w:r>
      <w:r w:rsidR="00CC1B73">
        <w:tab/>
      </w:r>
      <w:r w:rsidR="00DC5D03" w:rsidRPr="00327CB1">
        <w:t xml:space="preserve">A £2 rise per month would generate around </w:t>
      </w:r>
      <w:r w:rsidR="00CE3054" w:rsidRPr="00327CB1">
        <w:t>£7.6</w:t>
      </w:r>
      <w:r w:rsidR="00DC5D03" w:rsidRPr="00327CB1">
        <w:t>m of additional funding. This would enable the existing cost pressures to be met and for up to 50 officers to be recruited and deployed into local policing in Cambridgeshire.  This will increase the ability of the Constabulary to protect the public and tackle crime.</w:t>
      </w:r>
    </w:p>
    <w:p w14:paraId="74EF265D" w14:textId="5D18CC65" w:rsidR="004E7921" w:rsidRPr="00327CB1" w:rsidRDefault="00DC14E5" w:rsidP="00374826">
      <w:pPr>
        <w:numPr>
          <w:ilvl w:val="0"/>
          <w:numId w:val="0"/>
        </w:numPr>
        <w:spacing w:before="120"/>
        <w:ind w:left="709" w:hanging="709"/>
      </w:pPr>
      <w:r w:rsidRPr="00327CB1">
        <w:t>3.7</w:t>
      </w:r>
      <w:r w:rsidRPr="00327CB1">
        <w:tab/>
      </w:r>
      <w:r w:rsidR="004E7921" w:rsidRPr="00327CB1">
        <w:t xml:space="preserve">A £10 per month rise would </w:t>
      </w:r>
      <w:r w:rsidRPr="00327CB1">
        <w:t>bring overall funding more in line with the national average and enable the recruitment of more than 350 frontline officers. This would substantially increase the capacity of the Constabulary and its ability to tackle crime and keep people safe.</w:t>
      </w:r>
    </w:p>
    <w:p w14:paraId="3A9D2118" w14:textId="0C86C741" w:rsidR="00DC5D03" w:rsidRDefault="00981689" w:rsidP="00374826">
      <w:pPr>
        <w:numPr>
          <w:ilvl w:val="0"/>
          <w:numId w:val="0"/>
        </w:numPr>
        <w:spacing w:before="120"/>
        <w:ind w:left="709" w:hanging="709"/>
        <w:rPr>
          <w:color w:val="FF0000"/>
        </w:rPr>
      </w:pPr>
      <w:r>
        <w:t>3.8</w:t>
      </w:r>
      <w:r w:rsidR="00DC5D03" w:rsidRPr="00327CB1">
        <w:tab/>
        <w:t xml:space="preserve">For the above reasons, and also due to </w:t>
      </w:r>
      <w:r w:rsidR="00756FC7" w:rsidRPr="00327CB1">
        <w:t xml:space="preserve">initiatives </w:t>
      </w:r>
      <w:r w:rsidR="00DC5D03" w:rsidRPr="00327CB1">
        <w:t>currently in place to deliver future efficiencies, the Commissioner is recommending to the Police and Crime Panel (the “Panel”) an increase of £</w:t>
      </w:r>
      <w:r w:rsidR="004B6839" w:rsidRPr="00327CB1">
        <w:t xml:space="preserve">23.94 </w:t>
      </w:r>
      <w:r w:rsidR="00DC5D03" w:rsidRPr="00327CB1">
        <w:t>in council tax for 2019/20.  This would see the policing element of a Band D council tax property increasing from £</w:t>
      </w:r>
      <w:r w:rsidR="00CE3054" w:rsidRPr="00327CB1">
        <w:t>198.72 to £222.66</w:t>
      </w:r>
      <w:r w:rsidR="00DC5D03" w:rsidRPr="00327CB1">
        <w:t xml:space="preserve"> per annum, an increase of £2 per month.</w:t>
      </w:r>
    </w:p>
    <w:p w14:paraId="633ADA99" w14:textId="4B680439" w:rsidR="00553D91" w:rsidRPr="003C3FFD" w:rsidRDefault="004507A9" w:rsidP="00314D52">
      <w:pPr>
        <w:numPr>
          <w:ilvl w:val="0"/>
          <w:numId w:val="0"/>
        </w:numPr>
        <w:spacing w:before="120"/>
        <w:ind w:left="709" w:hanging="709"/>
        <w:rPr>
          <w:color w:val="FF0000"/>
        </w:rPr>
      </w:pPr>
      <w:r>
        <w:lastRenderedPageBreak/>
        <w:t>3</w:t>
      </w:r>
      <w:r w:rsidR="00981689">
        <w:t>.9</w:t>
      </w:r>
      <w:r w:rsidR="006B23EF" w:rsidRPr="00995534">
        <w:tab/>
      </w:r>
      <w:r w:rsidR="007F2873">
        <w:t xml:space="preserve">The Police Reform and Social Responsibility Act 2011 </w:t>
      </w:r>
      <w:r w:rsidR="00F23EAA">
        <w:t>enables the</w:t>
      </w:r>
      <w:r w:rsidR="007F2873">
        <w:t xml:space="preserve"> Commissioner to</w:t>
      </w:r>
      <w:r w:rsidR="00A87819">
        <w:t xml:space="preserve"> </w:t>
      </w:r>
      <w:r w:rsidR="00F23EAA">
        <w:t>obtain the views of</w:t>
      </w:r>
      <w:r w:rsidR="00A87819">
        <w:t xml:space="preserve"> the public </w:t>
      </w:r>
      <w:r w:rsidR="007F2873">
        <w:t>before issuing a precept</w:t>
      </w:r>
      <w:r w:rsidR="00A87819">
        <w:t xml:space="preserve">. </w:t>
      </w:r>
      <w:r w:rsidR="007F2873">
        <w:t xml:space="preserve"> </w:t>
      </w:r>
      <w:r w:rsidR="002A3A97" w:rsidRPr="004522DC">
        <w:t>A</w:t>
      </w:r>
      <w:r w:rsidR="00547615" w:rsidRPr="004522DC">
        <w:t>s well as the Commissioner’s extensive public engagement via meetings, surgeries and his newsletter, a</w:t>
      </w:r>
      <w:r w:rsidR="002A3A97" w:rsidRPr="004522DC">
        <w:t xml:space="preserve"> survey was made available from</w:t>
      </w:r>
      <w:r w:rsidR="00537120" w:rsidRPr="004522DC">
        <w:t xml:space="preserve"> </w:t>
      </w:r>
      <w:r w:rsidR="001855FB">
        <w:t>8</w:t>
      </w:r>
      <w:r w:rsidR="00537120" w:rsidRPr="000A5AEE">
        <w:rPr>
          <w:vertAlign w:val="superscript"/>
        </w:rPr>
        <w:t>th</w:t>
      </w:r>
      <w:r w:rsidR="000A5AEE">
        <w:t xml:space="preserve"> </w:t>
      </w:r>
      <w:r w:rsidR="00537120" w:rsidRPr="004522DC">
        <w:t>January</w:t>
      </w:r>
      <w:r w:rsidR="002A3A97" w:rsidRPr="004522DC">
        <w:t xml:space="preserve"> 201</w:t>
      </w:r>
      <w:r w:rsidR="00F23EAA">
        <w:t>9</w:t>
      </w:r>
      <w:r w:rsidR="002A3A97" w:rsidRPr="004522DC">
        <w:t xml:space="preserve"> to </w:t>
      </w:r>
      <w:r w:rsidR="00537120" w:rsidRPr="004522DC">
        <w:t>2</w:t>
      </w:r>
      <w:r w:rsidR="001855FB">
        <w:t>8</w:t>
      </w:r>
      <w:r w:rsidR="00537120" w:rsidRPr="004522DC">
        <w:rPr>
          <w:vertAlign w:val="superscript"/>
        </w:rPr>
        <w:t>th</w:t>
      </w:r>
      <w:r w:rsidR="00537120" w:rsidRPr="004522DC">
        <w:t xml:space="preserve"> </w:t>
      </w:r>
      <w:r w:rsidR="002A3A97" w:rsidRPr="004522DC">
        <w:t>January 201</w:t>
      </w:r>
      <w:r w:rsidR="00F23EAA">
        <w:t>9</w:t>
      </w:r>
      <w:r w:rsidR="002A3A97" w:rsidRPr="004522DC">
        <w:t xml:space="preserve"> with a link to the survey being available on the </w:t>
      </w:r>
      <w:r w:rsidR="00F87ACA" w:rsidRPr="004522DC">
        <w:t>Commissioner’s</w:t>
      </w:r>
      <w:r w:rsidR="002A3A97" w:rsidRPr="004522DC">
        <w:t xml:space="preserve"> website </w:t>
      </w:r>
      <w:r w:rsidR="002A3A97" w:rsidRPr="00FF32D9">
        <w:t xml:space="preserve">as well as being </w:t>
      </w:r>
      <w:r w:rsidR="00833F9E" w:rsidRPr="00771944">
        <w:t>sent to eCops subscribers</w:t>
      </w:r>
      <w:r w:rsidR="00257EC0">
        <w:t>,</w:t>
      </w:r>
      <w:r w:rsidR="002A3A97" w:rsidRPr="00771944">
        <w:t xml:space="preserve"> which is </w:t>
      </w:r>
      <w:r w:rsidR="00771944" w:rsidRPr="00771944">
        <w:t xml:space="preserve">approx. </w:t>
      </w:r>
      <w:r w:rsidR="002A3A97" w:rsidRPr="00771944">
        <w:t>1</w:t>
      </w:r>
      <w:r w:rsidR="00771944" w:rsidRPr="00771944">
        <w:t>5</w:t>
      </w:r>
      <w:r w:rsidR="002A3A97" w:rsidRPr="00771944">
        <w:t xml:space="preserve">,000 email addresses.  News of the Commissioner’s proposal was also covered by the media across Cambridgeshire and on social media.  </w:t>
      </w:r>
      <w:r w:rsidR="006D4C91" w:rsidRPr="00771944">
        <w:t xml:space="preserve">As at </w:t>
      </w:r>
      <w:r w:rsidR="009511A4">
        <w:t>18</w:t>
      </w:r>
      <w:r w:rsidR="006D4C91" w:rsidRPr="00771944">
        <w:rPr>
          <w:vertAlign w:val="superscript"/>
        </w:rPr>
        <w:t>th</w:t>
      </w:r>
      <w:r w:rsidR="006D4C91" w:rsidRPr="00771944">
        <w:t xml:space="preserve"> January 201</w:t>
      </w:r>
      <w:r w:rsidR="001855FB" w:rsidRPr="00771944">
        <w:t>9</w:t>
      </w:r>
      <w:r w:rsidR="007B2DB5" w:rsidRPr="00771944">
        <w:t>,</w:t>
      </w:r>
      <w:r w:rsidR="006D4C91" w:rsidRPr="00327CB1">
        <w:t xml:space="preserve"> </w:t>
      </w:r>
      <w:r w:rsidR="009511A4">
        <w:t>1,928</w:t>
      </w:r>
      <w:r w:rsidR="006D4C91" w:rsidRPr="00327CB1">
        <w:t xml:space="preserve"> survey responses were received with </w:t>
      </w:r>
      <w:r w:rsidR="00E55723" w:rsidRPr="00327CB1">
        <w:t>8</w:t>
      </w:r>
      <w:r w:rsidR="00AF6372">
        <w:t>5</w:t>
      </w:r>
      <w:bookmarkStart w:id="0" w:name="_GoBack"/>
      <w:bookmarkEnd w:id="0"/>
      <w:r w:rsidR="006D4C91" w:rsidRPr="00327CB1">
        <w:t xml:space="preserve">% of respondents in agreement with </w:t>
      </w:r>
      <w:r w:rsidR="00B66788" w:rsidRPr="00327CB1">
        <w:t xml:space="preserve">a </w:t>
      </w:r>
      <w:r w:rsidR="00397B62" w:rsidRPr="00327CB1">
        <w:t>proposed</w:t>
      </w:r>
      <w:r w:rsidR="006D4C91" w:rsidRPr="00327CB1">
        <w:t xml:space="preserve"> precept increase</w:t>
      </w:r>
      <w:r w:rsidR="00B66788" w:rsidRPr="00327CB1">
        <w:t xml:space="preserve"> of £2 or more</w:t>
      </w:r>
      <w:r w:rsidR="006D4C91" w:rsidRPr="00327CB1">
        <w:t>.</w:t>
      </w:r>
      <w:r w:rsidR="00F4362D" w:rsidRPr="00327CB1">
        <w:t xml:space="preserve"> A verbal update will be provided </w:t>
      </w:r>
      <w:r w:rsidR="004E5692">
        <w:t>to</w:t>
      </w:r>
      <w:r w:rsidR="00F4362D" w:rsidRPr="00327CB1">
        <w:t xml:space="preserve"> </w:t>
      </w:r>
      <w:r w:rsidR="00DC5D03" w:rsidRPr="00327CB1">
        <w:t xml:space="preserve">the </w:t>
      </w:r>
      <w:r w:rsidR="00F4362D" w:rsidRPr="00327CB1">
        <w:t>Panel with</w:t>
      </w:r>
      <w:r w:rsidR="00DC5D03" w:rsidRPr="00327CB1">
        <w:t xml:space="preserve"> the</w:t>
      </w:r>
      <w:r w:rsidR="00F4362D" w:rsidRPr="00327CB1">
        <w:t xml:space="preserve"> final results.</w:t>
      </w:r>
      <w:r w:rsidR="002A3A97">
        <w:t xml:space="preserve">  </w:t>
      </w:r>
    </w:p>
    <w:p w14:paraId="63E0FBBE" w14:textId="3FFF0451" w:rsidR="006057D0" w:rsidRDefault="004507A9" w:rsidP="00314D52">
      <w:pPr>
        <w:pStyle w:val="Normal-unumbered"/>
        <w:spacing w:before="120"/>
      </w:pPr>
      <w:r>
        <w:rPr>
          <w:lang w:val="en-GB"/>
        </w:rPr>
        <w:t>3</w:t>
      </w:r>
      <w:r w:rsidR="00981689">
        <w:rPr>
          <w:lang w:val="en-GB"/>
        </w:rPr>
        <w:t>.10</w:t>
      </w:r>
      <w:r w:rsidR="006B23EF" w:rsidRPr="00276953">
        <w:rPr>
          <w:lang w:val="en-GB"/>
        </w:rPr>
        <w:tab/>
      </w:r>
      <w:r w:rsidR="002C0EF4" w:rsidRPr="00276953">
        <w:t>Details of the precepts due from each collection authority net of any loss or surplus on the collection fund</w:t>
      </w:r>
      <w:r w:rsidR="007B3BEB" w:rsidRPr="00276953">
        <w:t>s</w:t>
      </w:r>
      <w:r w:rsidR="002C0EF4" w:rsidRPr="00276953">
        <w:t xml:space="preserve"> </w:t>
      </w:r>
      <w:r w:rsidR="001000F2" w:rsidRPr="00276953">
        <w:t>are</w:t>
      </w:r>
      <w:r w:rsidR="002C0EF4" w:rsidRPr="00276953">
        <w:t xml:space="preserve"> set out at Appendix </w:t>
      </w:r>
      <w:r w:rsidR="008161C2">
        <w:rPr>
          <w:lang w:val="en-GB"/>
        </w:rPr>
        <w:t>1 (Annex A)</w:t>
      </w:r>
      <w:r w:rsidR="002C0EF4" w:rsidRPr="00276953">
        <w:t>.</w:t>
      </w:r>
    </w:p>
    <w:p w14:paraId="50EE7C3F" w14:textId="22E341CB" w:rsidR="00150D23" w:rsidRPr="00276953" w:rsidRDefault="009B53BE" w:rsidP="00314D52">
      <w:pPr>
        <w:pStyle w:val="Heading1"/>
        <w:numPr>
          <w:ilvl w:val="0"/>
          <w:numId w:val="0"/>
        </w:numPr>
        <w:spacing w:before="240" w:after="240"/>
      </w:pPr>
      <w:r>
        <w:t>4.</w:t>
      </w:r>
      <w:r w:rsidR="006057D0" w:rsidRPr="00276953">
        <w:tab/>
      </w:r>
      <w:r w:rsidR="00150D23" w:rsidRPr="00276953">
        <w:t>Workforce</w:t>
      </w:r>
    </w:p>
    <w:p w14:paraId="68216C27" w14:textId="1FACA2D7" w:rsidR="008B1ACB" w:rsidRPr="00F51E5D" w:rsidRDefault="009B53BE" w:rsidP="00314D52">
      <w:pPr>
        <w:numPr>
          <w:ilvl w:val="0"/>
          <w:numId w:val="0"/>
        </w:numPr>
        <w:spacing w:before="120"/>
        <w:ind w:left="720" w:hanging="720"/>
      </w:pPr>
      <w:r>
        <w:t>4</w:t>
      </w:r>
      <w:r w:rsidR="00DC17D7" w:rsidRPr="00F51E5D">
        <w:t>.1</w:t>
      </w:r>
      <w:r w:rsidR="00DC17D7" w:rsidRPr="00F51E5D">
        <w:tab/>
      </w:r>
      <w:r w:rsidR="00F51E5D" w:rsidRPr="00327CB1">
        <w:t>Despite ongoing budget pressures, the t</w:t>
      </w:r>
      <w:r w:rsidR="00092C6F" w:rsidRPr="00327CB1">
        <w:t xml:space="preserve">otal </w:t>
      </w:r>
      <w:r w:rsidR="00530EA5" w:rsidRPr="00327CB1">
        <w:t>number of polic</w:t>
      </w:r>
      <w:r w:rsidR="00EF275F" w:rsidRPr="00327CB1">
        <w:t>e</w:t>
      </w:r>
      <w:r w:rsidR="00F51E5D" w:rsidRPr="00327CB1">
        <w:t xml:space="preserve"> officer posts in the Constabulary establishment </w:t>
      </w:r>
      <w:r w:rsidR="007035EE" w:rsidRPr="00327CB1">
        <w:t xml:space="preserve">is budgeted </w:t>
      </w:r>
      <w:r w:rsidR="00DD6950" w:rsidRPr="00327CB1">
        <w:t xml:space="preserve">to increase by 75 </w:t>
      </w:r>
      <w:r w:rsidR="009577DD">
        <w:t xml:space="preserve">local officers </w:t>
      </w:r>
      <w:r w:rsidR="004E5692">
        <w:t>to</w:t>
      </w:r>
      <w:r w:rsidR="00423683" w:rsidRPr="00327CB1">
        <w:t xml:space="preserve"> 1,4</w:t>
      </w:r>
      <w:r w:rsidR="00DD6950" w:rsidRPr="00327CB1">
        <w:t>96</w:t>
      </w:r>
      <w:r w:rsidR="00423683" w:rsidRPr="00327CB1">
        <w:t xml:space="preserve"> </w:t>
      </w:r>
      <w:r w:rsidR="009577DD">
        <w:t xml:space="preserve">officers </w:t>
      </w:r>
      <w:r w:rsidR="00F51E5D" w:rsidRPr="00327CB1">
        <w:t>in 2</w:t>
      </w:r>
      <w:r w:rsidR="00125C09" w:rsidRPr="00327CB1">
        <w:t>01</w:t>
      </w:r>
      <w:r w:rsidR="00DD6950" w:rsidRPr="00327CB1">
        <w:t>9/20</w:t>
      </w:r>
      <w:r w:rsidR="00F51E5D" w:rsidRPr="00327CB1">
        <w:t>.</w:t>
      </w:r>
      <w:r w:rsidR="00AD529D" w:rsidRPr="00327CB1">
        <w:t xml:space="preserve"> </w:t>
      </w:r>
      <w:r w:rsidR="00DD6950" w:rsidRPr="00327CB1">
        <w:t>The increase in precept will fund 50 of these</w:t>
      </w:r>
      <w:r w:rsidR="004E5692">
        <w:t>. The remaining 25</w:t>
      </w:r>
      <w:r w:rsidR="00DD6950" w:rsidRPr="00327CB1">
        <w:t xml:space="preserve"> </w:t>
      </w:r>
      <w:r w:rsidR="004E5692">
        <w:t>were identified in</w:t>
      </w:r>
      <w:r w:rsidR="00DD6950" w:rsidRPr="00327CB1">
        <w:t xml:space="preserve"> t</w:t>
      </w:r>
      <w:r w:rsidR="00AD529D" w:rsidRPr="00327CB1">
        <w:t xml:space="preserve">he </w:t>
      </w:r>
      <w:r w:rsidR="00A87819" w:rsidRPr="00327CB1">
        <w:t>Constabulary’s Local Policing Review (LPR)</w:t>
      </w:r>
      <w:r w:rsidR="004E5692">
        <w:t xml:space="preserve"> in 2018 which enabled an additional 50 officers, with the first 25 recruited in 2018/19 and the remaining 25 in 2019/20.T</w:t>
      </w:r>
      <w:r w:rsidR="00AD529D" w:rsidRPr="00327CB1">
        <w:t>hese have been included in the establishment figures below.</w:t>
      </w:r>
    </w:p>
    <w:p w14:paraId="653F0A41" w14:textId="6FF48610" w:rsidR="008B1ACB" w:rsidRPr="00F51E5D" w:rsidRDefault="009B53BE" w:rsidP="00314D52">
      <w:pPr>
        <w:pStyle w:val="Normal-unumbered"/>
        <w:spacing w:before="120"/>
        <w:rPr>
          <w:lang w:val="en-GB"/>
        </w:rPr>
      </w:pPr>
      <w:r>
        <w:rPr>
          <w:lang w:val="en-GB"/>
        </w:rPr>
        <w:t>4</w:t>
      </w:r>
      <w:r w:rsidR="006954A6" w:rsidRPr="00F51E5D">
        <w:t>.</w:t>
      </w:r>
      <w:r w:rsidR="006954A6" w:rsidRPr="00F51E5D">
        <w:rPr>
          <w:lang w:val="en-GB"/>
        </w:rPr>
        <w:t>2</w:t>
      </w:r>
      <w:r w:rsidR="007B3BEB" w:rsidRPr="00F51E5D">
        <w:tab/>
      </w:r>
      <w:r w:rsidR="00893178" w:rsidRPr="00F51E5D">
        <w:rPr>
          <w:lang w:val="en-GB"/>
        </w:rPr>
        <w:t xml:space="preserve">PCSO </w:t>
      </w:r>
      <w:r w:rsidR="00F51E5D" w:rsidRPr="00F51E5D">
        <w:rPr>
          <w:lang w:val="en-GB"/>
        </w:rPr>
        <w:t xml:space="preserve">establishment </w:t>
      </w:r>
      <w:r w:rsidR="006954A6" w:rsidRPr="00F51E5D">
        <w:rPr>
          <w:lang w:val="en-GB"/>
        </w:rPr>
        <w:t>numbers</w:t>
      </w:r>
      <w:r w:rsidR="00F51E5D" w:rsidRPr="00F51E5D">
        <w:rPr>
          <w:lang w:val="en-GB"/>
        </w:rPr>
        <w:t xml:space="preserve"> are budgeted </w:t>
      </w:r>
      <w:r w:rsidR="00DD6950">
        <w:rPr>
          <w:lang w:val="en-GB"/>
        </w:rPr>
        <w:t>at 80</w:t>
      </w:r>
      <w:r w:rsidR="00F51E5D" w:rsidRPr="00423683">
        <w:rPr>
          <w:lang w:val="en-GB"/>
        </w:rPr>
        <w:t>.</w:t>
      </w:r>
    </w:p>
    <w:p w14:paraId="3E7943A5" w14:textId="454D3FF0" w:rsidR="000767E3" w:rsidRPr="00423683" w:rsidRDefault="009B53BE" w:rsidP="00314D52">
      <w:pPr>
        <w:pStyle w:val="Normal-unumbered"/>
        <w:spacing w:before="120"/>
        <w:rPr>
          <w:lang w:val="en-GB"/>
        </w:rPr>
      </w:pPr>
      <w:r>
        <w:rPr>
          <w:lang w:val="en-GB"/>
        </w:rPr>
        <w:t>4</w:t>
      </w:r>
      <w:r w:rsidR="006954A6" w:rsidRPr="00FC2873">
        <w:t>.</w:t>
      </w:r>
      <w:r w:rsidR="006954A6" w:rsidRPr="00FC2873">
        <w:rPr>
          <w:lang w:val="en-GB"/>
        </w:rPr>
        <w:t>3</w:t>
      </w:r>
      <w:r w:rsidR="007B3BEB" w:rsidRPr="00FC2873">
        <w:tab/>
      </w:r>
      <w:r w:rsidR="00893178" w:rsidRPr="00FC2873">
        <w:rPr>
          <w:lang w:val="en-GB"/>
        </w:rPr>
        <w:t>Police Staff budgeted numbers</w:t>
      </w:r>
      <w:r w:rsidR="00F51E5D" w:rsidRPr="00FC2873">
        <w:rPr>
          <w:lang w:val="en-GB"/>
        </w:rPr>
        <w:t xml:space="preserve"> are estimated to </w:t>
      </w:r>
      <w:r w:rsidR="00DD6950">
        <w:rPr>
          <w:lang w:val="en-GB"/>
        </w:rPr>
        <w:t>remain at</w:t>
      </w:r>
      <w:r w:rsidR="001B3942">
        <w:rPr>
          <w:lang w:val="en-GB"/>
        </w:rPr>
        <w:t xml:space="preserve"> 873</w:t>
      </w:r>
      <w:r w:rsidR="00FC2873" w:rsidRPr="00423683">
        <w:rPr>
          <w:lang w:val="en-GB"/>
        </w:rPr>
        <w:t>.</w:t>
      </w:r>
    </w:p>
    <w:p w14:paraId="4D24D739" w14:textId="10E2CDC6" w:rsidR="000F364E" w:rsidRPr="00D75EF5" w:rsidRDefault="009B53BE" w:rsidP="00D75EF5">
      <w:pPr>
        <w:pStyle w:val="Normal-unumbered"/>
        <w:spacing w:before="120"/>
        <w:rPr>
          <w:lang w:val="en-GB"/>
        </w:rPr>
      </w:pPr>
      <w:r>
        <w:rPr>
          <w:lang w:val="en-GB"/>
        </w:rPr>
        <w:t>4</w:t>
      </w:r>
      <w:r w:rsidR="008B4000">
        <w:rPr>
          <w:lang w:val="en-GB"/>
        </w:rPr>
        <w:t>.4</w:t>
      </w:r>
      <w:r w:rsidR="008B4000">
        <w:rPr>
          <w:lang w:val="en-GB"/>
        </w:rPr>
        <w:tab/>
      </w:r>
      <w:r w:rsidR="00EF275F" w:rsidRPr="00423683">
        <w:rPr>
          <w:lang w:val="en-GB"/>
        </w:rPr>
        <w:t xml:space="preserve">The target for </w:t>
      </w:r>
      <w:r w:rsidR="00C63874" w:rsidRPr="00423683">
        <w:rPr>
          <w:lang w:val="en-GB"/>
        </w:rPr>
        <w:t xml:space="preserve">Special </w:t>
      </w:r>
      <w:r w:rsidR="00C63874" w:rsidRPr="00327CB1">
        <w:rPr>
          <w:lang w:val="en-GB"/>
        </w:rPr>
        <w:t>Constabulary numbers</w:t>
      </w:r>
      <w:r w:rsidR="002D6F5E" w:rsidRPr="00327CB1">
        <w:rPr>
          <w:lang w:val="en-GB"/>
        </w:rPr>
        <w:t xml:space="preserve"> continue</w:t>
      </w:r>
      <w:r w:rsidR="00EF275F" w:rsidRPr="00327CB1">
        <w:rPr>
          <w:lang w:val="en-GB"/>
        </w:rPr>
        <w:t>s</w:t>
      </w:r>
      <w:r w:rsidR="002D6F5E" w:rsidRPr="00327CB1">
        <w:rPr>
          <w:lang w:val="en-GB"/>
        </w:rPr>
        <w:t xml:space="preserve"> to</w:t>
      </w:r>
      <w:r w:rsidR="00EF275F" w:rsidRPr="00327CB1">
        <w:rPr>
          <w:lang w:val="en-GB"/>
        </w:rPr>
        <w:t xml:space="preserve"> be</w:t>
      </w:r>
      <w:r w:rsidR="00C63874" w:rsidRPr="00327CB1">
        <w:rPr>
          <w:lang w:val="en-GB"/>
        </w:rPr>
        <w:t xml:space="preserve"> 300</w:t>
      </w:r>
      <w:r w:rsidR="007555C5" w:rsidRPr="00327CB1">
        <w:rPr>
          <w:lang w:val="en-GB"/>
        </w:rPr>
        <w:t>.</w:t>
      </w:r>
    </w:p>
    <w:p w14:paraId="35557F47" w14:textId="7E799C6A" w:rsidR="00981689" w:rsidRDefault="009B53BE" w:rsidP="00FC2873">
      <w:pPr>
        <w:numPr>
          <w:ilvl w:val="0"/>
          <w:numId w:val="0"/>
        </w:numPr>
        <w:spacing w:before="120"/>
        <w:ind w:left="720" w:hanging="720"/>
        <w:rPr>
          <w:lang w:eastAsia="x-none"/>
        </w:rPr>
      </w:pPr>
      <w:r>
        <w:t>4</w:t>
      </w:r>
      <w:r w:rsidR="002D6F5E" w:rsidRPr="00276953">
        <w:t>.5</w:t>
      </w:r>
      <w:r w:rsidR="002D6F5E" w:rsidRPr="00D75EF5">
        <w:rPr>
          <w:lang w:eastAsia="x-none"/>
        </w:rPr>
        <w:tab/>
      </w:r>
      <w:r w:rsidR="000A39D4">
        <w:rPr>
          <w:lang w:eastAsia="x-none"/>
        </w:rPr>
        <w:t>T</w:t>
      </w:r>
      <w:r w:rsidR="00EF275F" w:rsidRPr="00D75EF5">
        <w:rPr>
          <w:lang w:eastAsia="x-none"/>
        </w:rPr>
        <w:t xml:space="preserve">he Constabulary </w:t>
      </w:r>
      <w:r w:rsidR="00D75EF5">
        <w:rPr>
          <w:lang w:eastAsia="x-none"/>
        </w:rPr>
        <w:t>is already collaborating in several areas</w:t>
      </w:r>
      <w:r w:rsidR="00CF7FB8" w:rsidRPr="00D75EF5">
        <w:rPr>
          <w:lang w:eastAsia="x-none"/>
        </w:rPr>
        <w:t xml:space="preserve">. </w:t>
      </w:r>
      <w:r w:rsidR="00D75EF5">
        <w:rPr>
          <w:lang w:eastAsia="x-none"/>
        </w:rPr>
        <w:t>This</w:t>
      </w:r>
      <w:r w:rsidR="008F7978" w:rsidRPr="00D75EF5">
        <w:rPr>
          <w:lang w:eastAsia="x-none"/>
        </w:rPr>
        <w:t xml:space="preserve"> has enabled</w:t>
      </w:r>
      <w:r w:rsidR="004A710C" w:rsidRPr="00D75EF5">
        <w:rPr>
          <w:lang w:eastAsia="x-none"/>
        </w:rPr>
        <w:t xml:space="preserve"> each </w:t>
      </w:r>
      <w:r w:rsidR="008B62F2">
        <w:rPr>
          <w:lang w:eastAsia="x-none"/>
        </w:rPr>
        <w:t>F</w:t>
      </w:r>
      <w:r w:rsidR="004A710C" w:rsidRPr="00D75EF5">
        <w:rPr>
          <w:lang w:eastAsia="x-none"/>
        </w:rPr>
        <w:t>orce/</w:t>
      </w:r>
      <w:r w:rsidR="008B62F2">
        <w:rPr>
          <w:lang w:eastAsia="x-none"/>
        </w:rPr>
        <w:t>C</w:t>
      </w:r>
      <w:r w:rsidR="004A710C" w:rsidRPr="00D75EF5">
        <w:rPr>
          <w:lang w:eastAsia="x-none"/>
        </w:rPr>
        <w:t>onstabulary</w:t>
      </w:r>
      <w:r w:rsidR="00CF7FB8" w:rsidRPr="00D75EF5">
        <w:rPr>
          <w:lang w:eastAsia="x-none"/>
        </w:rPr>
        <w:t xml:space="preserve"> to</w:t>
      </w:r>
      <w:r w:rsidR="004A710C" w:rsidRPr="00D75EF5">
        <w:rPr>
          <w:lang w:eastAsia="x-none"/>
        </w:rPr>
        <w:t xml:space="preserve"> have access to a greater number of resources.</w:t>
      </w:r>
      <w:r w:rsidR="004A710C" w:rsidRPr="00047F51">
        <w:rPr>
          <w:lang w:eastAsia="x-none"/>
        </w:rPr>
        <w:t xml:space="preserve"> </w:t>
      </w:r>
      <w:r w:rsidR="00CF7FB8" w:rsidRPr="00047F51">
        <w:rPr>
          <w:lang w:eastAsia="x-none"/>
        </w:rPr>
        <w:t xml:space="preserve"> </w:t>
      </w:r>
    </w:p>
    <w:p w14:paraId="1A7298D4" w14:textId="77777777" w:rsidR="00054FBC" w:rsidRPr="00D75EF5" w:rsidRDefault="00054FBC" w:rsidP="00FC2873">
      <w:pPr>
        <w:numPr>
          <w:ilvl w:val="0"/>
          <w:numId w:val="0"/>
        </w:numPr>
        <w:spacing w:before="120"/>
        <w:ind w:left="720" w:hanging="720"/>
      </w:pPr>
    </w:p>
    <w:p w14:paraId="19B6B71E" w14:textId="400DF620" w:rsidR="00A83F05" w:rsidRPr="008313CE" w:rsidRDefault="00A42D6D" w:rsidP="00A42D6D">
      <w:pPr>
        <w:numPr>
          <w:ilvl w:val="0"/>
          <w:numId w:val="0"/>
        </w:numPr>
        <w:tabs>
          <w:tab w:val="left" w:pos="1080"/>
        </w:tabs>
        <w:ind w:left="709" w:hanging="709"/>
      </w:pPr>
      <w:r>
        <w:tab/>
      </w:r>
      <w:r w:rsidR="00A83F05" w:rsidRPr="008313CE">
        <w:rPr>
          <w:b/>
        </w:rPr>
        <w:t xml:space="preserve">Table 3 – </w:t>
      </w:r>
      <w:r w:rsidR="00327CB1">
        <w:rPr>
          <w:b/>
        </w:rPr>
        <w:t xml:space="preserve">Draft </w:t>
      </w:r>
      <w:r w:rsidR="00A83F05" w:rsidRPr="008313CE">
        <w:rPr>
          <w:b/>
        </w:rPr>
        <w:t>Workforce projections</w:t>
      </w:r>
      <w:r w:rsidR="00F51E5D">
        <w:rPr>
          <w:b/>
        </w:rPr>
        <w:t xml:space="preserve"> (establishment)</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2"/>
        <w:gridCol w:w="1462"/>
        <w:gridCol w:w="1463"/>
      </w:tblGrid>
      <w:tr w:rsidR="00893178" w:rsidRPr="00F768D2" w14:paraId="10F08D77" w14:textId="77777777" w:rsidTr="009D5C78">
        <w:tc>
          <w:tcPr>
            <w:tcW w:w="5382" w:type="dxa"/>
            <w:shd w:val="clear" w:color="auto" w:fill="auto"/>
          </w:tcPr>
          <w:p w14:paraId="355C4C96" w14:textId="77777777" w:rsidR="009D5C78" w:rsidRPr="00423683" w:rsidRDefault="009D5C78" w:rsidP="00AC03CB">
            <w:pPr>
              <w:numPr>
                <w:ilvl w:val="0"/>
                <w:numId w:val="0"/>
              </w:numPr>
            </w:pPr>
          </w:p>
        </w:tc>
        <w:tc>
          <w:tcPr>
            <w:tcW w:w="1462" w:type="dxa"/>
            <w:shd w:val="clear" w:color="auto" w:fill="auto"/>
          </w:tcPr>
          <w:p w14:paraId="30F2E0AC" w14:textId="57129AD1" w:rsidR="009D5C78" w:rsidRPr="00F768D2" w:rsidRDefault="00DD6950" w:rsidP="0062351A">
            <w:pPr>
              <w:numPr>
                <w:ilvl w:val="0"/>
                <w:numId w:val="0"/>
              </w:numPr>
              <w:jc w:val="center"/>
              <w:rPr>
                <w:b/>
              </w:rPr>
            </w:pPr>
            <w:r w:rsidRPr="00F768D2">
              <w:rPr>
                <w:b/>
              </w:rPr>
              <w:t>2018/19</w:t>
            </w:r>
          </w:p>
        </w:tc>
        <w:tc>
          <w:tcPr>
            <w:tcW w:w="1463" w:type="dxa"/>
            <w:shd w:val="clear" w:color="auto" w:fill="auto"/>
          </w:tcPr>
          <w:p w14:paraId="70A1F994" w14:textId="402B715B" w:rsidR="009D5C78" w:rsidRPr="00F768D2" w:rsidRDefault="00423683" w:rsidP="0062351A">
            <w:pPr>
              <w:numPr>
                <w:ilvl w:val="0"/>
                <w:numId w:val="0"/>
              </w:numPr>
              <w:jc w:val="center"/>
              <w:rPr>
                <w:b/>
              </w:rPr>
            </w:pPr>
            <w:r w:rsidRPr="00F768D2">
              <w:rPr>
                <w:b/>
              </w:rPr>
              <w:t>201</w:t>
            </w:r>
            <w:r w:rsidR="00637A49">
              <w:rPr>
                <w:b/>
              </w:rPr>
              <w:t>9/20</w:t>
            </w:r>
          </w:p>
        </w:tc>
      </w:tr>
      <w:tr w:rsidR="00893178" w:rsidRPr="00F768D2" w14:paraId="730F7001" w14:textId="77777777" w:rsidTr="009D5C78">
        <w:tc>
          <w:tcPr>
            <w:tcW w:w="5382" w:type="dxa"/>
            <w:shd w:val="clear" w:color="auto" w:fill="auto"/>
          </w:tcPr>
          <w:p w14:paraId="776FDAE1" w14:textId="77777777" w:rsidR="009D5C78" w:rsidRPr="00F768D2" w:rsidRDefault="009D5C78" w:rsidP="00AC03CB">
            <w:pPr>
              <w:numPr>
                <w:ilvl w:val="0"/>
                <w:numId w:val="0"/>
              </w:numPr>
              <w:rPr>
                <w:b/>
              </w:rPr>
            </w:pPr>
            <w:r w:rsidRPr="00F768D2">
              <w:rPr>
                <w:b/>
              </w:rPr>
              <w:t>Police Officers:</w:t>
            </w:r>
          </w:p>
        </w:tc>
        <w:tc>
          <w:tcPr>
            <w:tcW w:w="1462" w:type="dxa"/>
            <w:shd w:val="clear" w:color="auto" w:fill="auto"/>
          </w:tcPr>
          <w:p w14:paraId="192CE2FA" w14:textId="77777777" w:rsidR="009D5C78" w:rsidRPr="00F768D2" w:rsidRDefault="009D5C78" w:rsidP="00AC03CB">
            <w:pPr>
              <w:numPr>
                <w:ilvl w:val="0"/>
                <w:numId w:val="0"/>
              </w:numPr>
            </w:pPr>
          </w:p>
        </w:tc>
        <w:tc>
          <w:tcPr>
            <w:tcW w:w="1463" w:type="dxa"/>
            <w:shd w:val="clear" w:color="auto" w:fill="auto"/>
          </w:tcPr>
          <w:p w14:paraId="6A0C4066" w14:textId="77777777" w:rsidR="009D5C78" w:rsidRPr="00F768D2" w:rsidRDefault="009D5C78" w:rsidP="00AC03CB">
            <w:pPr>
              <w:numPr>
                <w:ilvl w:val="0"/>
                <w:numId w:val="0"/>
              </w:numPr>
            </w:pPr>
          </w:p>
        </w:tc>
      </w:tr>
      <w:tr w:rsidR="00893178" w:rsidRPr="00F768D2" w14:paraId="7E07D21E" w14:textId="77777777" w:rsidTr="001240B0">
        <w:tc>
          <w:tcPr>
            <w:tcW w:w="5382" w:type="dxa"/>
            <w:shd w:val="clear" w:color="auto" w:fill="auto"/>
          </w:tcPr>
          <w:p w14:paraId="3248C63B" w14:textId="77777777" w:rsidR="009D5C78" w:rsidRPr="00F768D2" w:rsidRDefault="009D5C78" w:rsidP="00AC03CB">
            <w:pPr>
              <w:numPr>
                <w:ilvl w:val="0"/>
                <w:numId w:val="0"/>
              </w:numPr>
            </w:pPr>
            <w:r w:rsidRPr="00F768D2">
              <w:t xml:space="preserve">Local Policing </w:t>
            </w:r>
          </w:p>
        </w:tc>
        <w:tc>
          <w:tcPr>
            <w:tcW w:w="1462" w:type="dxa"/>
            <w:shd w:val="clear" w:color="auto" w:fill="auto"/>
          </w:tcPr>
          <w:p w14:paraId="2CE9A69E" w14:textId="1A07ED2A" w:rsidR="009D5C78" w:rsidRPr="00F768D2" w:rsidRDefault="00DD6950" w:rsidP="00AC03CB">
            <w:pPr>
              <w:numPr>
                <w:ilvl w:val="0"/>
                <w:numId w:val="0"/>
              </w:numPr>
              <w:jc w:val="right"/>
            </w:pPr>
            <w:r w:rsidRPr="00F768D2">
              <w:t>1,</w:t>
            </w:r>
            <w:r>
              <w:t>175</w:t>
            </w:r>
          </w:p>
        </w:tc>
        <w:tc>
          <w:tcPr>
            <w:tcW w:w="1463" w:type="dxa"/>
            <w:shd w:val="clear" w:color="auto" w:fill="auto"/>
          </w:tcPr>
          <w:p w14:paraId="1AA9C56E" w14:textId="48291153" w:rsidR="009D5C78" w:rsidRPr="00F768D2" w:rsidRDefault="001240B0" w:rsidP="00DD6950">
            <w:pPr>
              <w:numPr>
                <w:ilvl w:val="0"/>
                <w:numId w:val="0"/>
              </w:numPr>
              <w:jc w:val="right"/>
            </w:pPr>
            <w:r w:rsidRPr="00F768D2">
              <w:t>1,</w:t>
            </w:r>
            <w:r w:rsidR="00DD6950">
              <w:t>250</w:t>
            </w:r>
          </w:p>
        </w:tc>
      </w:tr>
      <w:tr w:rsidR="00893178" w:rsidRPr="00F768D2" w14:paraId="61E8D926" w14:textId="77777777" w:rsidTr="001240B0">
        <w:tc>
          <w:tcPr>
            <w:tcW w:w="5382" w:type="dxa"/>
            <w:shd w:val="clear" w:color="auto" w:fill="auto"/>
          </w:tcPr>
          <w:p w14:paraId="0D14BBD8" w14:textId="74A60CAA" w:rsidR="009D5C78" w:rsidRPr="00F768D2" w:rsidRDefault="001240B0" w:rsidP="00AC03CB">
            <w:pPr>
              <w:numPr>
                <w:ilvl w:val="0"/>
                <w:numId w:val="0"/>
              </w:numPr>
            </w:pPr>
            <w:r w:rsidRPr="00F768D2">
              <w:t>Collaborated Officers</w:t>
            </w:r>
          </w:p>
        </w:tc>
        <w:tc>
          <w:tcPr>
            <w:tcW w:w="1462" w:type="dxa"/>
            <w:shd w:val="clear" w:color="auto" w:fill="auto"/>
          </w:tcPr>
          <w:p w14:paraId="6F76F328" w14:textId="3D221FC1" w:rsidR="009D5C78" w:rsidRPr="00F768D2" w:rsidRDefault="00DD6950" w:rsidP="00AC03CB">
            <w:pPr>
              <w:numPr>
                <w:ilvl w:val="0"/>
                <w:numId w:val="0"/>
              </w:numPr>
              <w:jc w:val="right"/>
            </w:pPr>
            <w:r w:rsidRPr="00F768D2">
              <w:t>2</w:t>
            </w:r>
            <w:r>
              <w:t>5</w:t>
            </w:r>
            <w:r w:rsidRPr="00F768D2">
              <w:t>1</w:t>
            </w:r>
          </w:p>
        </w:tc>
        <w:tc>
          <w:tcPr>
            <w:tcW w:w="1463" w:type="dxa"/>
            <w:shd w:val="clear" w:color="auto" w:fill="auto"/>
          </w:tcPr>
          <w:p w14:paraId="415B2D62" w14:textId="4EB67165" w:rsidR="009D5C78" w:rsidRPr="00F768D2" w:rsidRDefault="001240B0" w:rsidP="00DD6950">
            <w:pPr>
              <w:numPr>
                <w:ilvl w:val="0"/>
                <w:numId w:val="0"/>
              </w:numPr>
              <w:jc w:val="right"/>
            </w:pPr>
            <w:r w:rsidRPr="00F768D2">
              <w:t>2</w:t>
            </w:r>
            <w:r w:rsidR="00DD6950">
              <w:t>46</w:t>
            </w:r>
          </w:p>
        </w:tc>
      </w:tr>
      <w:tr w:rsidR="00F51E5D" w:rsidRPr="00F768D2" w14:paraId="2B485233" w14:textId="77777777" w:rsidTr="001240B0">
        <w:tc>
          <w:tcPr>
            <w:tcW w:w="5382" w:type="dxa"/>
            <w:shd w:val="clear" w:color="auto" w:fill="auto"/>
          </w:tcPr>
          <w:p w14:paraId="3CDF6AC2" w14:textId="17620FE4" w:rsidR="00F51E5D" w:rsidRPr="00F768D2" w:rsidRDefault="00F51E5D" w:rsidP="00AC03CB">
            <w:pPr>
              <w:numPr>
                <w:ilvl w:val="0"/>
                <w:numId w:val="0"/>
              </w:numPr>
            </w:pPr>
          </w:p>
        </w:tc>
        <w:tc>
          <w:tcPr>
            <w:tcW w:w="1462" w:type="dxa"/>
            <w:shd w:val="clear" w:color="auto" w:fill="auto"/>
          </w:tcPr>
          <w:p w14:paraId="620F7A27" w14:textId="7DE27B6D" w:rsidR="00F51E5D" w:rsidRPr="00F768D2" w:rsidRDefault="00F51E5D" w:rsidP="0062351A">
            <w:pPr>
              <w:numPr>
                <w:ilvl w:val="0"/>
                <w:numId w:val="0"/>
              </w:numPr>
              <w:jc w:val="right"/>
            </w:pPr>
          </w:p>
        </w:tc>
        <w:tc>
          <w:tcPr>
            <w:tcW w:w="1463" w:type="dxa"/>
            <w:shd w:val="clear" w:color="auto" w:fill="auto"/>
          </w:tcPr>
          <w:p w14:paraId="06CE16AB" w14:textId="38E663BD" w:rsidR="00F51E5D" w:rsidRPr="00F768D2" w:rsidRDefault="00F51E5D" w:rsidP="00AC03CB">
            <w:pPr>
              <w:numPr>
                <w:ilvl w:val="0"/>
                <w:numId w:val="0"/>
              </w:numPr>
              <w:jc w:val="right"/>
            </w:pPr>
          </w:p>
        </w:tc>
      </w:tr>
      <w:tr w:rsidR="00893178" w:rsidRPr="00F768D2" w14:paraId="1BDA3690" w14:textId="77777777" w:rsidTr="001240B0">
        <w:tc>
          <w:tcPr>
            <w:tcW w:w="5382" w:type="dxa"/>
            <w:shd w:val="clear" w:color="auto" w:fill="auto"/>
          </w:tcPr>
          <w:p w14:paraId="10862B39" w14:textId="77777777" w:rsidR="009D5C78" w:rsidRPr="00F768D2" w:rsidRDefault="009D5C78" w:rsidP="00AC03CB">
            <w:pPr>
              <w:numPr>
                <w:ilvl w:val="0"/>
                <w:numId w:val="0"/>
              </w:numPr>
              <w:rPr>
                <w:b/>
              </w:rPr>
            </w:pPr>
            <w:r w:rsidRPr="00F768D2">
              <w:rPr>
                <w:b/>
              </w:rPr>
              <w:t>Total Officers</w:t>
            </w:r>
          </w:p>
        </w:tc>
        <w:tc>
          <w:tcPr>
            <w:tcW w:w="1462" w:type="dxa"/>
            <w:shd w:val="clear" w:color="auto" w:fill="auto"/>
          </w:tcPr>
          <w:p w14:paraId="0634E222" w14:textId="7D43B614" w:rsidR="009D5C78" w:rsidRPr="00F768D2" w:rsidRDefault="00DD6950" w:rsidP="0062351A">
            <w:pPr>
              <w:numPr>
                <w:ilvl w:val="0"/>
                <w:numId w:val="0"/>
              </w:numPr>
              <w:jc w:val="right"/>
              <w:rPr>
                <w:b/>
              </w:rPr>
            </w:pPr>
            <w:r w:rsidRPr="00F768D2">
              <w:rPr>
                <w:b/>
              </w:rPr>
              <w:t>1,42</w:t>
            </w:r>
            <w:r>
              <w:rPr>
                <w:b/>
              </w:rPr>
              <w:t>5</w:t>
            </w:r>
          </w:p>
        </w:tc>
        <w:tc>
          <w:tcPr>
            <w:tcW w:w="1463" w:type="dxa"/>
            <w:shd w:val="clear" w:color="auto" w:fill="auto"/>
          </w:tcPr>
          <w:p w14:paraId="35D3DD36" w14:textId="3A54D62E" w:rsidR="009D5C78" w:rsidRPr="00F768D2" w:rsidRDefault="00DD6950" w:rsidP="00DD6950">
            <w:pPr>
              <w:numPr>
                <w:ilvl w:val="0"/>
                <w:numId w:val="0"/>
              </w:numPr>
              <w:jc w:val="right"/>
              <w:rPr>
                <w:b/>
              </w:rPr>
            </w:pPr>
            <w:r>
              <w:rPr>
                <w:b/>
              </w:rPr>
              <w:t>1,496</w:t>
            </w:r>
          </w:p>
        </w:tc>
      </w:tr>
      <w:tr w:rsidR="00893178" w:rsidRPr="00F768D2" w14:paraId="53775C07" w14:textId="77777777" w:rsidTr="001240B0">
        <w:tc>
          <w:tcPr>
            <w:tcW w:w="5382" w:type="dxa"/>
            <w:shd w:val="clear" w:color="auto" w:fill="auto"/>
          </w:tcPr>
          <w:p w14:paraId="1D6BF2E7" w14:textId="77777777" w:rsidR="009D5C78" w:rsidRPr="00F768D2" w:rsidRDefault="009D5C78" w:rsidP="00AC03CB">
            <w:pPr>
              <w:numPr>
                <w:ilvl w:val="0"/>
                <w:numId w:val="0"/>
              </w:numPr>
            </w:pPr>
          </w:p>
        </w:tc>
        <w:tc>
          <w:tcPr>
            <w:tcW w:w="1462" w:type="dxa"/>
            <w:shd w:val="clear" w:color="auto" w:fill="auto"/>
          </w:tcPr>
          <w:p w14:paraId="5152516C" w14:textId="77777777" w:rsidR="009D5C78" w:rsidRPr="00F768D2" w:rsidRDefault="009D5C78" w:rsidP="00AC03CB">
            <w:pPr>
              <w:numPr>
                <w:ilvl w:val="0"/>
                <w:numId w:val="0"/>
              </w:numPr>
              <w:jc w:val="right"/>
            </w:pPr>
          </w:p>
        </w:tc>
        <w:tc>
          <w:tcPr>
            <w:tcW w:w="1463" w:type="dxa"/>
            <w:shd w:val="clear" w:color="auto" w:fill="auto"/>
          </w:tcPr>
          <w:p w14:paraId="5E0A7D57" w14:textId="77777777" w:rsidR="009D5C78" w:rsidRPr="00F768D2" w:rsidRDefault="009D5C78" w:rsidP="00AC03CB">
            <w:pPr>
              <w:numPr>
                <w:ilvl w:val="0"/>
                <w:numId w:val="0"/>
              </w:numPr>
              <w:jc w:val="right"/>
            </w:pPr>
          </w:p>
        </w:tc>
      </w:tr>
      <w:tr w:rsidR="00893178" w:rsidRPr="00F768D2" w14:paraId="1E6A9286" w14:textId="77777777" w:rsidTr="001240B0">
        <w:tc>
          <w:tcPr>
            <w:tcW w:w="5382" w:type="dxa"/>
            <w:shd w:val="clear" w:color="auto" w:fill="auto"/>
          </w:tcPr>
          <w:p w14:paraId="25126830" w14:textId="77777777" w:rsidR="009D5C78" w:rsidRPr="00F768D2" w:rsidRDefault="009D5C78" w:rsidP="00AC03CB">
            <w:pPr>
              <w:numPr>
                <w:ilvl w:val="0"/>
                <w:numId w:val="0"/>
              </w:numPr>
              <w:rPr>
                <w:b/>
              </w:rPr>
            </w:pPr>
            <w:r w:rsidRPr="00F768D2">
              <w:rPr>
                <w:b/>
              </w:rPr>
              <w:t>Police Staff:</w:t>
            </w:r>
          </w:p>
        </w:tc>
        <w:tc>
          <w:tcPr>
            <w:tcW w:w="1462" w:type="dxa"/>
            <w:shd w:val="clear" w:color="auto" w:fill="auto"/>
          </w:tcPr>
          <w:p w14:paraId="4E33C5A4" w14:textId="77777777" w:rsidR="009D5C78" w:rsidRPr="00F768D2" w:rsidRDefault="009D5C78" w:rsidP="00AC03CB">
            <w:pPr>
              <w:numPr>
                <w:ilvl w:val="0"/>
                <w:numId w:val="0"/>
              </w:numPr>
              <w:jc w:val="right"/>
            </w:pPr>
          </w:p>
        </w:tc>
        <w:tc>
          <w:tcPr>
            <w:tcW w:w="1463" w:type="dxa"/>
            <w:shd w:val="clear" w:color="auto" w:fill="auto"/>
          </w:tcPr>
          <w:p w14:paraId="3331F401" w14:textId="77777777" w:rsidR="009D5C78" w:rsidRPr="00F768D2" w:rsidRDefault="009D5C78" w:rsidP="00AC03CB">
            <w:pPr>
              <w:numPr>
                <w:ilvl w:val="0"/>
                <w:numId w:val="0"/>
              </w:numPr>
              <w:jc w:val="right"/>
            </w:pPr>
          </w:p>
        </w:tc>
      </w:tr>
      <w:tr w:rsidR="00893178" w:rsidRPr="00F768D2" w14:paraId="41B19DF0" w14:textId="77777777" w:rsidTr="001240B0">
        <w:tc>
          <w:tcPr>
            <w:tcW w:w="5382" w:type="dxa"/>
            <w:shd w:val="clear" w:color="auto" w:fill="auto"/>
          </w:tcPr>
          <w:p w14:paraId="7983CF15" w14:textId="77777777" w:rsidR="009D5C78" w:rsidRPr="00F768D2" w:rsidRDefault="009D5C78" w:rsidP="00AC03CB">
            <w:pPr>
              <w:numPr>
                <w:ilvl w:val="0"/>
                <w:numId w:val="0"/>
              </w:numPr>
            </w:pPr>
            <w:r w:rsidRPr="00F768D2">
              <w:t>Police Staff</w:t>
            </w:r>
          </w:p>
        </w:tc>
        <w:tc>
          <w:tcPr>
            <w:tcW w:w="1462" w:type="dxa"/>
            <w:shd w:val="clear" w:color="auto" w:fill="auto"/>
          </w:tcPr>
          <w:p w14:paraId="50AC3F81" w14:textId="5C3CBD00" w:rsidR="009D5C78" w:rsidRPr="00F768D2" w:rsidRDefault="00DD6950" w:rsidP="00AC03CB">
            <w:pPr>
              <w:numPr>
                <w:ilvl w:val="0"/>
                <w:numId w:val="0"/>
              </w:numPr>
              <w:jc w:val="right"/>
            </w:pPr>
            <w:r w:rsidRPr="00F768D2">
              <w:t>87</w:t>
            </w:r>
            <w:r>
              <w:t>3</w:t>
            </w:r>
          </w:p>
        </w:tc>
        <w:tc>
          <w:tcPr>
            <w:tcW w:w="1463" w:type="dxa"/>
            <w:shd w:val="clear" w:color="auto" w:fill="auto"/>
          </w:tcPr>
          <w:p w14:paraId="7B0D20D6" w14:textId="07BA85D1" w:rsidR="009D5C78" w:rsidRPr="00F768D2" w:rsidRDefault="001240B0" w:rsidP="00AC03CB">
            <w:pPr>
              <w:numPr>
                <w:ilvl w:val="0"/>
                <w:numId w:val="0"/>
              </w:numPr>
              <w:jc w:val="right"/>
            </w:pPr>
            <w:r w:rsidRPr="00F768D2">
              <w:t>873</w:t>
            </w:r>
          </w:p>
        </w:tc>
      </w:tr>
      <w:tr w:rsidR="00893178" w:rsidRPr="00F768D2" w14:paraId="3E7E53BF" w14:textId="77777777" w:rsidTr="001240B0">
        <w:tc>
          <w:tcPr>
            <w:tcW w:w="5382" w:type="dxa"/>
            <w:shd w:val="clear" w:color="auto" w:fill="auto"/>
          </w:tcPr>
          <w:p w14:paraId="5604E51D" w14:textId="77777777" w:rsidR="009D5C78" w:rsidRPr="00F768D2" w:rsidRDefault="009D5C78" w:rsidP="00AC03CB">
            <w:pPr>
              <w:numPr>
                <w:ilvl w:val="0"/>
                <w:numId w:val="0"/>
              </w:numPr>
            </w:pPr>
            <w:r w:rsidRPr="00F768D2">
              <w:t>PCSOs</w:t>
            </w:r>
          </w:p>
        </w:tc>
        <w:tc>
          <w:tcPr>
            <w:tcW w:w="1462" w:type="dxa"/>
            <w:shd w:val="clear" w:color="auto" w:fill="auto"/>
          </w:tcPr>
          <w:p w14:paraId="14D67D14" w14:textId="24BDED90" w:rsidR="009D5C78" w:rsidRPr="00F768D2" w:rsidRDefault="00DD6950" w:rsidP="00AC03CB">
            <w:pPr>
              <w:numPr>
                <w:ilvl w:val="0"/>
                <w:numId w:val="0"/>
              </w:numPr>
              <w:jc w:val="right"/>
            </w:pPr>
            <w:r w:rsidRPr="00F768D2">
              <w:t>126</w:t>
            </w:r>
          </w:p>
        </w:tc>
        <w:tc>
          <w:tcPr>
            <w:tcW w:w="1463" w:type="dxa"/>
            <w:shd w:val="clear" w:color="auto" w:fill="auto"/>
          </w:tcPr>
          <w:p w14:paraId="03891F31" w14:textId="7A76B1B5" w:rsidR="009D5C78" w:rsidRPr="00F768D2" w:rsidRDefault="00DD6950" w:rsidP="00AC03CB">
            <w:pPr>
              <w:numPr>
                <w:ilvl w:val="0"/>
                <w:numId w:val="0"/>
              </w:numPr>
              <w:jc w:val="right"/>
            </w:pPr>
            <w:r>
              <w:t>80</w:t>
            </w:r>
          </w:p>
        </w:tc>
      </w:tr>
      <w:tr w:rsidR="00F51E5D" w:rsidRPr="004A0895" w14:paraId="6F2E3199" w14:textId="77777777" w:rsidTr="001240B0">
        <w:tc>
          <w:tcPr>
            <w:tcW w:w="5382" w:type="dxa"/>
            <w:shd w:val="clear" w:color="auto" w:fill="auto"/>
          </w:tcPr>
          <w:p w14:paraId="0F5FA207" w14:textId="77777777" w:rsidR="009D5C78" w:rsidRPr="00F768D2" w:rsidRDefault="009D5C78" w:rsidP="00AC03CB">
            <w:pPr>
              <w:numPr>
                <w:ilvl w:val="0"/>
                <w:numId w:val="0"/>
              </w:numPr>
              <w:rPr>
                <w:b/>
              </w:rPr>
            </w:pPr>
            <w:r w:rsidRPr="00F768D2">
              <w:rPr>
                <w:b/>
              </w:rPr>
              <w:t xml:space="preserve">Total </w:t>
            </w:r>
          </w:p>
        </w:tc>
        <w:tc>
          <w:tcPr>
            <w:tcW w:w="1462" w:type="dxa"/>
            <w:shd w:val="clear" w:color="auto" w:fill="auto"/>
          </w:tcPr>
          <w:p w14:paraId="62D79FA3" w14:textId="5BEF6FA8" w:rsidR="009D5C78" w:rsidRPr="00F768D2" w:rsidRDefault="00DD6950" w:rsidP="00AC03CB">
            <w:pPr>
              <w:numPr>
                <w:ilvl w:val="0"/>
                <w:numId w:val="0"/>
              </w:numPr>
              <w:jc w:val="right"/>
              <w:rPr>
                <w:b/>
              </w:rPr>
            </w:pPr>
            <w:r w:rsidRPr="00F768D2">
              <w:rPr>
                <w:b/>
              </w:rPr>
              <w:t>999</w:t>
            </w:r>
          </w:p>
        </w:tc>
        <w:tc>
          <w:tcPr>
            <w:tcW w:w="1463" w:type="dxa"/>
            <w:shd w:val="clear" w:color="auto" w:fill="auto"/>
          </w:tcPr>
          <w:p w14:paraId="051419CB" w14:textId="722EA493" w:rsidR="009D5C78" w:rsidRPr="001240B0" w:rsidRDefault="00DD6950" w:rsidP="00AC03CB">
            <w:pPr>
              <w:numPr>
                <w:ilvl w:val="0"/>
                <w:numId w:val="0"/>
              </w:numPr>
              <w:jc w:val="right"/>
              <w:rPr>
                <w:b/>
              </w:rPr>
            </w:pPr>
            <w:r>
              <w:rPr>
                <w:b/>
              </w:rPr>
              <w:t>953</w:t>
            </w:r>
          </w:p>
        </w:tc>
      </w:tr>
    </w:tbl>
    <w:p w14:paraId="17D1AAD6" w14:textId="77777777" w:rsidR="00584667" w:rsidRDefault="00584667" w:rsidP="001D32F4">
      <w:pPr>
        <w:pStyle w:val="Normal-unumbered"/>
        <w:ind w:left="0" w:firstLine="0"/>
        <w:jc w:val="left"/>
        <w:rPr>
          <w:b/>
          <w:lang w:val="en-GB"/>
        </w:rPr>
      </w:pPr>
    </w:p>
    <w:p w14:paraId="3D902888" w14:textId="50DBFF92" w:rsidR="00956A66" w:rsidRPr="001D32F4" w:rsidRDefault="009B53BE" w:rsidP="001D32F4">
      <w:pPr>
        <w:pStyle w:val="Normal-unumbered"/>
        <w:ind w:left="0" w:firstLine="0"/>
        <w:jc w:val="left"/>
        <w:rPr>
          <w:b/>
          <w:lang w:val="en-GB"/>
        </w:rPr>
      </w:pPr>
      <w:r>
        <w:rPr>
          <w:b/>
          <w:lang w:val="en-GB"/>
        </w:rPr>
        <w:lastRenderedPageBreak/>
        <w:t>5</w:t>
      </w:r>
      <w:r w:rsidR="009935FB" w:rsidRPr="001D32F4">
        <w:rPr>
          <w:b/>
        </w:rPr>
        <w:t>.</w:t>
      </w:r>
      <w:r w:rsidR="009935FB" w:rsidRPr="001D32F4">
        <w:rPr>
          <w:b/>
        </w:rPr>
        <w:tab/>
      </w:r>
      <w:r w:rsidR="00956A66" w:rsidRPr="001D32F4">
        <w:rPr>
          <w:b/>
        </w:rPr>
        <w:t>Capital Financing</w:t>
      </w:r>
    </w:p>
    <w:p w14:paraId="23A2D33F" w14:textId="1D9785AC" w:rsidR="009D6513" w:rsidRPr="009D6513" w:rsidRDefault="009B53BE" w:rsidP="00314D52">
      <w:pPr>
        <w:pStyle w:val="Normal-unumbered"/>
        <w:spacing w:before="120"/>
        <w:rPr>
          <w:lang w:val="en-GB"/>
        </w:rPr>
      </w:pPr>
      <w:r>
        <w:rPr>
          <w:lang w:val="en-GB"/>
        </w:rPr>
        <w:t>5</w:t>
      </w:r>
      <w:r w:rsidR="007B3BEB" w:rsidRPr="00302827">
        <w:t>.1</w:t>
      </w:r>
      <w:r w:rsidR="00987475" w:rsidRPr="00302827">
        <w:tab/>
      </w:r>
      <w:r w:rsidR="005B38D9">
        <w:t>The replacement for Parkside Custody is now underway, with searches for suitable sites progressing. Detail</w:t>
      </w:r>
      <w:r w:rsidR="004931D9">
        <w:rPr>
          <w:lang w:val="en-GB"/>
        </w:rPr>
        <w:t>ed</w:t>
      </w:r>
      <w:r w:rsidR="005B38D9">
        <w:t xml:space="preserve"> project plans are in the process of being drawn up.</w:t>
      </w:r>
    </w:p>
    <w:p w14:paraId="5E6FB17C" w14:textId="00EDAACB" w:rsidR="00926C17" w:rsidRDefault="009B53BE" w:rsidP="00314D52">
      <w:pPr>
        <w:pStyle w:val="Normal-unumbered"/>
        <w:spacing w:before="120"/>
        <w:rPr>
          <w:lang w:val="en-GB"/>
        </w:rPr>
      </w:pPr>
      <w:r>
        <w:rPr>
          <w:lang w:val="en-GB"/>
        </w:rPr>
        <w:t>5</w:t>
      </w:r>
      <w:r w:rsidR="009D6513">
        <w:rPr>
          <w:lang w:val="en-GB"/>
        </w:rPr>
        <w:t>.2</w:t>
      </w:r>
      <w:r w:rsidR="009D6513">
        <w:rPr>
          <w:lang w:val="en-GB"/>
        </w:rPr>
        <w:tab/>
      </w:r>
      <w:r w:rsidR="00E920D9" w:rsidRPr="00327CB1">
        <w:rPr>
          <w:lang w:val="en-GB"/>
        </w:rPr>
        <w:t>Other than the Parkside replacement project, other Capit</w:t>
      </w:r>
      <w:r w:rsidR="00821B4C" w:rsidRPr="00327CB1">
        <w:rPr>
          <w:lang w:val="en-GB"/>
        </w:rPr>
        <w:t>al Programme expenditure for 2019/20</w:t>
      </w:r>
      <w:r w:rsidR="00E920D9" w:rsidRPr="00327CB1">
        <w:rPr>
          <w:lang w:val="en-GB"/>
        </w:rPr>
        <w:t xml:space="preserve"> will be financed</w:t>
      </w:r>
      <w:r w:rsidR="00E920D9" w:rsidRPr="00E920D9">
        <w:rPr>
          <w:lang w:val="en-GB"/>
        </w:rPr>
        <w:t xml:space="preserve"> without the need for external borrowing. Financing of the programme will be through a number of different sources which include Capital Grant from Government, Capital Receipts and the use of Capital Reserves and the Budget Assistance Reserve</w:t>
      </w:r>
      <w:r w:rsidR="00302827" w:rsidRPr="00302827">
        <w:rPr>
          <w:lang w:val="en-GB"/>
        </w:rPr>
        <w:t xml:space="preserve">. </w:t>
      </w:r>
    </w:p>
    <w:p w14:paraId="4C9B20E2" w14:textId="32FADC3D" w:rsidR="00584667" w:rsidRPr="009B53BE" w:rsidRDefault="00584667" w:rsidP="009B53BE">
      <w:pPr>
        <w:pStyle w:val="ListParagraph"/>
        <w:numPr>
          <w:ilvl w:val="1"/>
          <w:numId w:val="42"/>
        </w:numPr>
        <w:tabs>
          <w:tab w:val="left" w:pos="709"/>
          <w:tab w:val="left" w:pos="851"/>
        </w:tabs>
        <w:ind w:left="709" w:hanging="709"/>
        <w:rPr>
          <w:sz w:val="24"/>
          <w:szCs w:val="24"/>
          <w:lang w:eastAsia="x-none"/>
        </w:rPr>
      </w:pPr>
      <w:r w:rsidRPr="009B53BE">
        <w:rPr>
          <w:sz w:val="24"/>
          <w:szCs w:val="24"/>
          <w:lang w:eastAsia="x-none"/>
        </w:rPr>
        <w:t xml:space="preserve">From </w:t>
      </w:r>
      <w:r w:rsidR="00866AD9" w:rsidRPr="009B53BE">
        <w:rPr>
          <w:sz w:val="24"/>
          <w:szCs w:val="24"/>
          <w:lang w:eastAsia="x-none"/>
        </w:rPr>
        <w:t>2020/21, the primary source of c</w:t>
      </w:r>
      <w:r w:rsidRPr="009B53BE">
        <w:rPr>
          <w:sz w:val="24"/>
          <w:szCs w:val="24"/>
          <w:lang w:eastAsia="x-none"/>
        </w:rPr>
        <w:t xml:space="preserve">apital </w:t>
      </w:r>
      <w:r w:rsidR="00866AD9" w:rsidRPr="009B53BE">
        <w:rPr>
          <w:sz w:val="24"/>
          <w:szCs w:val="24"/>
          <w:lang w:eastAsia="x-none"/>
        </w:rPr>
        <w:t>financing will be bo</w:t>
      </w:r>
      <w:r w:rsidR="00525DA0">
        <w:rPr>
          <w:sz w:val="24"/>
          <w:szCs w:val="24"/>
          <w:lang w:eastAsia="x-none"/>
        </w:rPr>
        <w:t xml:space="preserve">rrowing as Capital </w:t>
      </w:r>
      <w:r w:rsidR="00866AD9" w:rsidRPr="009B53BE">
        <w:rPr>
          <w:sz w:val="24"/>
          <w:szCs w:val="24"/>
          <w:lang w:eastAsia="x-none"/>
        </w:rPr>
        <w:t>R</w:t>
      </w:r>
      <w:r w:rsidRPr="009B53BE">
        <w:rPr>
          <w:sz w:val="24"/>
          <w:szCs w:val="24"/>
          <w:lang w:eastAsia="x-none"/>
        </w:rPr>
        <w:t xml:space="preserve">eceipts </w:t>
      </w:r>
      <w:r w:rsidR="00525DA0">
        <w:rPr>
          <w:sz w:val="24"/>
          <w:szCs w:val="24"/>
          <w:lang w:eastAsia="x-none"/>
        </w:rPr>
        <w:t xml:space="preserve">Reserve </w:t>
      </w:r>
      <w:r w:rsidRPr="009B53BE">
        <w:rPr>
          <w:sz w:val="24"/>
          <w:szCs w:val="24"/>
          <w:lang w:eastAsia="x-none"/>
        </w:rPr>
        <w:t>will have been fully utilised by this point and it is anticipated</w:t>
      </w:r>
      <w:r w:rsidR="00866AD9" w:rsidRPr="009B53BE">
        <w:rPr>
          <w:sz w:val="24"/>
          <w:szCs w:val="24"/>
          <w:lang w:eastAsia="x-none"/>
        </w:rPr>
        <w:t xml:space="preserve"> that the current low level of C</w:t>
      </w:r>
      <w:r w:rsidRPr="009B53BE">
        <w:rPr>
          <w:sz w:val="24"/>
          <w:szCs w:val="24"/>
          <w:lang w:eastAsia="x-none"/>
        </w:rPr>
        <w:t xml:space="preserve">apital </w:t>
      </w:r>
      <w:r w:rsidR="00866AD9" w:rsidRPr="009B53BE">
        <w:rPr>
          <w:sz w:val="24"/>
          <w:szCs w:val="24"/>
          <w:lang w:eastAsia="x-none"/>
        </w:rPr>
        <w:t>G</w:t>
      </w:r>
      <w:r w:rsidRPr="009B53BE">
        <w:rPr>
          <w:sz w:val="24"/>
          <w:szCs w:val="24"/>
          <w:lang w:eastAsia="x-none"/>
        </w:rPr>
        <w:t>rants received from central government will continue. This will have ongoing revenue consequences due to the need to budget for interest and minimum revenue provision payments.</w:t>
      </w:r>
    </w:p>
    <w:p w14:paraId="7DF8D835" w14:textId="277F784F" w:rsidR="00956A66" w:rsidRDefault="009B53BE" w:rsidP="00314D52">
      <w:pPr>
        <w:pStyle w:val="Normal-unumbered"/>
        <w:spacing w:before="120"/>
      </w:pPr>
      <w:r>
        <w:rPr>
          <w:lang w:val="en-GB"/>
        </w:rPr>
        <w:t>5.4</w:t>
      </w:r>
      <w:r w:rsidR="0050192B" w:rsidRPr="00302827">
        <w:tab/>
      </w:r>
      <w:r w:rsidR="009F3437" w:rsidRPr="00302827">
        <w:t>The Capital Programme</w:t>
      </w:r>
      <w:r w:rsidR="006D5AA9">
        <w:rPr>
          <w:lang w:val="en-GB"/>
        </w:rPr>
        <w:t>’s</w:t>
      </w:r>
      <w:r w:rsidR="00251C30">
        <w:t xml:space="preserve"> 2019</w:t>
      </w:r>
      <w:r w:rsidR="00251C30">
        <w:rPr>
          <w:lang w:val="en-GB"/>
        </w:rPr>
        <w:t>/20</w:t>
      </w:r>
      <w:r w:rsidR="009F3437" w:rsidRPr="00302827">
        <w:rPr>
          <w:lang w:val="en-GB"/>
        </w:rPr>
        <w:t xml:space="preserve"> to 20</w:t>
      </w:r>
      <w:r w:rsidR="009D6513">
        <w:t>2</w:t>
      </w:r>
      <w:r w:rsidR="00251C30">
        <w:rPr>
          <w:lang w:val="en-GB"/>
        </w:rPr>
        <w:t>2</w:t>
      </w:r>
      <w:r w:rsidR="009D6513">
        <w:t>/2</w:t>
      </w:r>
      <w:r w:rsidR="00251C30">
        <w:rPr>
          <w:lang w:val="en-GB"/>
        </w:rPr>
        <w:t>3</w:t>
      </w:r>
      <w:r w:rsidR="007B3BEB" w:rsidRPr="00302827">
        <w:t xml:space="preserve"> revenue effects are inc</w:t>
      </w:r>
      <w:r w:rsidR="009F3437" w:rsidRPr="00302827">
        <w:t xml:space="preserve">luded in the </w:t>
      </w:r>
      <w:r w:rsidR="007F35F8">
        <w:rPr>
          <w:lang w:val="en-GB"/>
        </w:rPr>
        <w:t>MTFS</w:t>
      </w:r>
      <w:r w:rsidR="007B3BEB" w:rsidRPr="00302827">
        <w:t>.</w:t>
      </w:r>
    </w:p>
    <w:p w14:paraId="1B7AF594" w14:textId="26994C13" w:rsidR="000A534A" w:rsidRPr="00276953" w:rsidRDefault="009B53BE" w:rsidP="00314D52">
      <w:pPr>
        <w:pStyle w:val="Heading1"/>
        <w:numPr>
          <w:ilvl w:val="0"/>
          <w:numId w:val="0"/>
        </w:numPr>
        <w:spacing w:before="240" w:after="240"/>
        <w:ind w:left="709" w:hanging="709"/>
      </w:pPr>
      <w:r>
        <w:t>6</w:t>
      </w:r>
      <w:r w:rsidR="000A534A" w:rsidRPr="00276953">
        <w:t>.</w:t>
      </w:r>
      <w:r w:rsidR="000A534A" w:rsidRPr="00276953">
        <w:tab/>
        <w:t>The Medium Term Outlook</w:t>
      </w:r>
    </w:p>
    <w:p w14:paraId="063FBDB0" w14:textId="77BEF91B" w:rsidR="00ED3608" w:rsidRPr="009B53BE" w:rsidRDefault="009B53BE" w:rsidP="009B53BE">
      <w:pPr>
        <w:pStyle w:val="Normal-unumbered"/>
        <w:spacing w:before="120"/>
        <w:rPr>
          <w:lang w:val="en-GB"/>
        </w:rPr>
      </w:pPr>
      <w:r>
        <w:rPr>
          <w:lang w:val="en-GB"/>
        </w:rPr>
        <w:t>6</w:t>
      </w:r>
      <w:r w:rsidR="000A534A" w:rsidRPr="00276953">
        <w:t>.1</w:t>
      </w:r>
      <w:r w:rsidR="000A534A" w:rsidRPr="00276953">
        <w:tab/>
      </w:r>
      <w:r w:rsidR="001C4BE6" w:rsidRPr="00327CB1">
        <w:t xml:space="preserve">As set out in </w:t>
      </w:r>
      <w:r w:rsidR="00365918" w:rsidRPr="00327CB1">
        <w:rPr>
          <w:lang w:val="en-GB"/>
        </w:rPr>
        <w:t>the current MTFP</w:t>
      </w:r>
      <w:r w:rsidR="001C4BE6" w:rsidRPr="00327CB1">
        <w:t xml:space="preserve"> the projected budget gap </w:t>
      </w:r>
      <w:r w:rsidR="00365918" w:rsidRPr="00327CB1">
        <w:rPr>
          <w:lang w:val="en-GB"/>
        </w:rPr>
        <w:t>for</w:t>
      </w:r>
      <w:r w:rsidR="001C4BE6" w:rsidRPr="00327CB1">
        <w:t xml:space="preserve"> 201</w:t>
      </w:r>
      <w:r w:rsidR="00F84325" w:rsidRPr="00327CB1">
        <w:rPr>
          <w:lang w:val="en-GB"/>
        </w:rPr>
        <w:t>9/20</w:t>
      </w:r>
      <w:r w:rsidR="00510F1C" w:rsidRPr="00327CB1">
        <w:t xml:space="preserve"> to 202</w:t>
      </w:r>
      <w:r w:rsidR="00F84325" w:rsidRPr="00327CB1">
        <w:rPr>
          <w:lang w:val="en-GB"/>
        </w:rPr>
        <w:t>2</w:t>
      </w:r>
      <w:r w:rsidR="00510F1C" w:rsidRPr="00327CB1">
        <w:t>/2</w:t>
      </w:r>
      <w:r w:rsidR="00F84325" w:rsidRPr="00327CB1">
        <w:rPr>
          <w:lang w:val="en-GB"/>
        </w:rPr>
        <w:t>3</w:t>
      </w:r>
      <w:r w:rsidR="00812273" w:rsidRPr="00327CB1">
        <w:rPr>
          <w:lang w:val="en-GB"/>
        </w:rPr>
        <w:t xml:space="preserve"> </w:t>
      </w:r>
      <w:r w:rsidR="001C4BE6" w:rsidRPr="00327CB1">
        <w:t xml:space="preserve">is </w:t>
      </w:r>
      <w:r w:rsidR="0097557C" w:rsidRPr="00327CB1">
        <w:rPr>
          <w:lang w:val="en-GB"/>
        </w:rPr>
        <w:t xml:space="preserve">a further </w:t>
      </w:r>
      <w:r w:rsidR="001C4BE6" w:rsidRPr="00327CB1">
        <w:rPr>
          <w:lang w:val="en-GB"/>
        </w:rPr>
        <w:t>£</w:t>
      </w:r>
      <w:r w:rsidR="00B35F64">
        <w:rPr>
          <w:lang w:val="en-GB"/>
        </w:rPr>
        <w:t>4.9</w:t>
      </w:r>
      <w:r w:rsidR="001C4BE6" w:rsidRPr="00327CB1">
        <w:rPr>
          <w:lang w:val="en-GB"/>
        </w:rPr>
        <w:t>m</w:t>
      </w:r>
      <w:r w:rsidR="001C4BE6" w:rsidRPr="00327CB1">
        <w:t xml:space="preserve"> </w:t>
      </w:r>
      <w:r w:rsidRPr="00327CB1">
        <w:rPr>
          <w:lang w:val="en-GB"/>
        </w:rPr>
        <w:t>which will need to be met by the saving and efficiency plans that are already in place.</w:t>
      </w:r>
      <w:r w:rsidR="00B51F4A">
        <w:rPr>
          <w:lang w:val="en-GB"/>
        </w:rPr>
        <w:t xml:space="preserve"> </w:t>
      </w:r>
    </w:p>
    <w:p w14:paraId="29A66712" w14:textId="0D090880" w:rsidR="002B34E8" w:rsidRPr="002B34E8" w:rsidRDefault="009B53BE" w:rsidP="009B53BE">
      <w:pPr>
        <w:pStyle w:val="Normal-unumbered"/>
        <w:spacing w:before="120"/>
        <w:rPr>
          <w:lang w:val="en-GB"/>
        </w:rPr>
      </w:pPr>
      <w:r>
        <w:rPr>
          <w:lang w:val="en-GB"/>
        </w:rPr>
        <w:t>6.2</w:t>
      </w:r>
      <w:r w:rsidR="00BD048D" w:rsidRPr="00BD048D">
        <w:rPr>
          <w:lang w:val="en-GB"/>
        </w:rPr>
        <w:tab/>
      </w:r>
      <w:r w:rsidR="002B34E8" w:rsidRPr="002B34E8">
        <w:rPr>
          <w:lang w:val="en-GB"/>
        </w:rPr>
        <w:t>The Commissioner</w:t>
      </w:r>
      <w:r>
        <w:rPr>
          <w:lang w:val="en-GB"/>
        </w:rPr>
        <w:t xml:space="preserve"> is awaiting the outcome of his p</w:t>
      </w:r>
      <w:r w:rsidR="00326DC9">
        <w:rPr>
          <w:lang w:val="en-GB"/>
        </w:rPr>
        <w:t>roposal</w:t>
      </w:r>
      <w:r w:rsidR="00B51F4A">
        <w:rPr>
          <w:lang w:val="en-GB"/>
        </w:rPr>
        <w:t xml:space="preserve"> to </w:t>
      </w:r>
      <w:r w:rsidR="00326DC9">
        <w:rPr>
          <w:lang w:val="en-GB"/>
        </w:rPr>
        <w:t xml:space="preserve">take on the </w:t>
      </w:r>
      <w:r>
        <w:rPr>
          <w:lang w:val="en-GB"/>
        </w:rPr>
        <w:t xml:space="preserve">responsibility of </w:t>
      </w:r>
      <w:r w:rsidR="00326DC9">
        <w:rPr>
          <w:lang w:val="en-GB"/>
        </w:rPr>
        <w:t>governance of Cambridgeshire Fire and Rescue Service</w:t>
      </w:r>
      <w:r>
        <w:rPr>
          <w:lang w:val="en-GB"/>
        </w:rPr>
        <w:t>.</w:t>
      </w:r>
      <w:r w:rsidR="00B51F4A">
        <w:rPr>
          <w:lang w:val="en-GB"/>
        </w:rPr>
        <w:t xml:space="preserve"> Work is ongoing </w:t>
      </w:r>
      <w:r>
        <w:rPr>
          <w:lang w:val="en-GB"/>
        </w:rPr>
        <w:t xml:space="preserve">to determine the </w:t>
      </w:r>
      <w:r w:rsidR="002B34E8" w:rsidRPr="002B34E8">
        <w:rPr>
          <w:lang w:val="en-GB"/>
        </w:rPr>
        <w:t>best use of the emergency service land and buildings in Huntingdon</w:t>
      </w:r>
      <w:r w:rsidR="000F539C">
        <w:rPr>
          <w:lang w:val="en-GB"/>
        </w:rPr>
        <w:t>.</w:t>
      </w:r>
    </w:p>
    <w:p w14:paraId="68F17CA4" w14:textId="7D604419" w:rsidR="00BE0F50" w:rsidRPr="00BE0F50" w:rsidRDefault="009B53BE" w:rsidP="00BE0F50">
      <w:pPr>
        <w:pStyle w:val="Heading1"/>
        <w:numPr>
          <w:ilvl w:val="0"/>
          <w:numId w:val="0"/>
        </w:numPr>
        <w:spacing w:before="240" w:after="240"/>
        <w:ind w:left="709" w:hanging="709"/>
        <w:rPr>
          <w:lang w:eastAsia="x-none"/>
        </w:rPr>
      </w:pPr>
      <w:r>
        <w:rPr>
          <w:b w:val="0"/>
          <w:lang w:eastAsia="x-none"/>
        </w:rPr>
        <w:t>6.3</w:t>
      </w:r>
      <w:r w:rsidR="00266383" w:rsidRPr="00266383">
        <w:rPr>
          <w:b w:val="0"/>
          <w:lang w:eastAsia="x-none"/>
        </w:rPr>
        <w:tab/>
        <w:t>Eastern Region collaboration (being Bedfordshire, Cambridgeshire, Hertfordshire, Norfolk, Suffolk, Essex and Kent) is in its relatively early stages and already significant opportunities have been identified in areas such as regionalising procurement.</w:t>
      </w:r>
    </w:p>
    <w:p w14:paraId="39B4D238" w14:textId="0DF4534B" w:rsidR="00BE0F50" w:rsidRDefault="009B53BE" w:rsidP="000F539C">
      <w:pPr>
        <w:numPr>
          <w:ilvl w:val="0"/>
          <w:numId w:val="0"/>
        </w:numPr>
        <w:ind w:left="709" w:hanging="709"/>
        <w:rPr>
          <w:b/>
        </w:rPr>
      </w:pPr>
      <w:r>
        <w:rPr>
          <w:lang w:eastAsia="x-none"/>
        </w:rPr>
        <w:t>6.4</w:t>
      </w:r>
      <w:r>
        <w:rPr>
          <w:lang w:eastAsia="x-none"/>
        </w:rPr>
        <w:tab/>
      </w:r>
      <w:r w:rsidR="000F539C" w:rsidRPr="000F539C">
        <w:t xml:space="preserve">Transformation is crucial to enable Cambridgeshire Constabulary and partners to deliver the objectives in the </w:t>
      </w:r>
      <w:r w:rsidR="004931D9">
        <w:t xml:space="preserve">Police and Crime </w:t>
      </w:r>
      <w:r w:rsidR="000F539C" w:rsidRPr="000F539C">
        <w:t>Plan.  A continual process is in place to look forward to find different ways of working which are more effective and efficient and in this way balance the budget and protect frontline policing.</w:t>
      </w:r>
    </w:p>
    <w:p w14:paraId="6A0E17D2" w14:textId="2AF48D68" w:rsidR="00BE0F50" w:rsidRPr="007A6668" w:rsidRDefault="000F539C" w:rsidP="000F539C">
      <w:pPr>
        <w:numPr>
          <w:ilvl w:val="0"/>
          <w:numId w:val="0"/>
        </w:numPr>
        <w:spacing w:before="77"/>
        <w:ind w:left="709" w:hanging="709"/>
        <w:textAlignment w:val="baseline"/>
        <w:rPr>
          <w:rFonts w:ascii="Times New Roman" w:hAnsi="Times New Roman"/>
          <w:szCs w:val="24"/>
        </w:rPr>
      </w:pPr>
      <w:r>
        <w:rPr>
          <w:lang w:eastAsia="x-none"/>
        </w:rPr>
        <w:t>6.5</w:t>
      </w:r>
      <w:r>
        <w:rPr>
          <w:lang w:eastAsia="x-none"/>
        </w:rPr>
        <w:tab/>
        <w:t>T</w:t>
      </w:r>
      <w:r w:rsidRPr="0043025A">
        <w:t xml:space="preserve">his is coupled with a need to have a comprehensive understanding of demand and ways of working with </w:t>
      </w:r>
      <w:r>
        <w:t xml:space="preserve">partners to reduce these demands. </w:t>
      </w:r>
      <w:r w:rsidRPr="007A6668">
        <w:rPr>
          <w:rFonts w:asciiTheme="minorHAnsi" w:eastAsiaTheme="minorEastAsia" w:cstheme="minorBidi"/>
          <w:color w:val="000000" w:themeColor="text1"/>
          <w:kern w:val="24"/>
          <w:szCs w:val="24"/>
        </w:rPr>
        <w:t>There has been a shift in the type of demand from dealing with:</w:t>
      </w:r>
    </w:p>
    <w:p w14:paraId="3F07FEFA" w14:textId="77777777" w:rsidR="000F539C" w:rsidRPr="000F539C" w:rsidRDefault="000F539C" w:rsidP="000F539C">
      <w:pPr>
        <w:numPr>
          <w:ilvl w:val="1"/>
          <w:numId w:val="44"/>
        </w:numPr>
        <w:autoSpaceDE w:val="0"/>
        <w:autoSpaceDN w:val="0"/>
        <w:adjustRightInd w:val="0"/>
        <w:spacing w:after="160" w:line="259" w:lineRule="auto"/>
        <w:jc w:val="left"/>
        <w:rPr>
          <w:rFonts w:asciiTheme="minorHAnsi" w:hAnsiTheme="minorHAnsi" w:cstheme="minorHAnsi"/>
          <w:szCs w:val="24"/>
        </w:rPr>
      </w:pPr>
      <w:r w:rsidRPr="000F539C">
        <w:rPr>
          <w:rFonts w:asciiTheme="minorHAnsi" w:hAnsiTheme="minorHAnsi" w:cstheme="minorHAnsi"/>
          <w:szCs w:val="24"/>
        </w:rPr>
        <w:t xml:space="preserve">current crime to dealing with current and historic crime </w:t>
      </w:r>
    </w:p>
    <w:p w14:paraId="30CD843A" w14:textId="77777777" w:rsidR="000F539C" w:rsidRPr="000F539C" w:rsidRDefault="000F539C" w:rsidP="000F539C">
      <w:pPr>
        <w:numPr>
          <w:ilvl w:val="1"/>
          <w:numId w:val="44"/>
        </w:numPr>
        <w:autoSpaceDE w:val="0"/>
        <w:autoSpaceDN w:val="0"/>
        <w:adjustRightInd w:val="0"/>
        <w:spacing w:after="160" w:line="259" w:lineRule="auto"/>
        <w:jc w:val="left"/>
        <w:rPr>
          <w:rFonts w:asciiTheme="minorHAnsi" w:hAnsiTheme="minorHAnsi" w:cstheme="minorHAnsi"/>
          <w:szCs w:val="24"/>
        </w:rPr>
      </w:pPr>
      <w:r w:rsidRPr="000F539C">
        <w:rPr>
          <w:rFonts w:asciiTheme="minorHAnsi" w:hAnsiTheme="minorHAnsi" w:cstheme="minorHAnsi"/>
          <w:szCs w:val="24"/>
        </w:rPr>
        <w:t>public crime to dealing with public and private/hidden crime (a much greater focus on domestic abuse, child sexual exploitation, modern slavery).</w:t>
      </w:r>
    </w:p>
    <w:p w14:paraId="575682E1" w14:textId="77777777" w:rsidR="000F539C" w:rsidRPr="000F539C" w:rsidRDefault="000F539C" w:rsidP="000F539C">
      <w:pPr>
        <w:numPr>
          <w:ilvl w:val="1"/>
          <w:numId w:val="44"/>
        </w:numPr>
        <w:autoSpaceDE w:val="0"/>
        <w:autoSpaceDN w:val="0"/>
        <w:adjustRightInd w:val="0"/>
        <w:spacing w:after="160" w:line="259" w:lineRule="auto"/>
        <w:jc w:val="left"/>
        <w:rPr>
          <w:rFonts w:asciiTheme="minorHAnsi" w:hAnsiTheme="minorHAnsi" w:cstheme="minorHAnsi"/>
          <w:szCs w:val="24"/>
        </w:rPr>
      </w:pPr>
      <w:r w:rsidRPr="000F539C">
        <w:rPr>
          <w:rFonts w:asciiTheme="minorHAnsi" w:hAnsiTheme="minorHAnsi" w:cstheme="minorHAnsi"/>
          <w:szCs w:val="24"/>
        </w:rPr>
        <w:t>physical crime to physical and online crime</w:t>
      </w:r>
    </w:p>
    <w:p w14:paraId="2CE7DB77" w14:textId="77777777" w:rsidR="000F539C" w:rsidRPr="000F539C" w:rsidRDefault="000F539C" w:rsidP="000F539C">
      <w:pPr>
        <w:numPr>
          <w:ilvl w:val="1"/>
          <w:numId w:val="44"/>
        </w:numPr>
        <w:autoSpaceDE w:val="0"/>
        <w:autoSpaceDN w:val="0"/>
        <w:adjustRightInd w:val="0"/>
        <w:spacing w:after="160" w:line="259" w:lineRule="auto"/>
        <w:jc w:val="left"/>
        <w:rPr>
          <w:rFonts w:asciiTheme="minorHAnsi" w:hAnsiTheme="minorHAnsi" w:cstheme="minorHAnsi"/>
          <w:szCs w:val="24"/>
        </w:rPr>
      </w:pPr>
      <w:r w:rsidRPr="000F539C">
        <w:rPr>
          <w:rFonts w:asciiTheme="minorHAnsi" w:hAnsiTheme="minorHAnsi" w:cstheme="minorHAnsi"/>
          <w:szCs w:val="24"/>
        </w:rPr>
        <w:t>simple to simple and complex (the huge increase in data associated with investigations and the disclosure burden)</w:t>
      </w:r>
    </w:p>
    <w:p w14:paraId="55DB2305" w14:textId="77777777" w:rsidR="000F539C" w:rsidRPr="000F539C" w:rsidRDefault="000F539C" w:rsidP="000F539C">
      <w:pPr>
        <w:numPr>
          <w:ilvl w:val="1"/>
          <w:numId w:val="44"/>
        </w:numPr>
        <w:autoSpaceDE w:val="0"/>
        <w:autoSpaceDN w:val="0"/>
        <w:adjustRightInd w:val="0"/>
        <w:spacing w:after="160" w:line="259" w:lineRule="auto"/>
        <w:jc w:val="left"/>
        <w:rPr>
          <w:rFonts w:asciiTheme="minorHAnsi" w:hAnsiTheme="minorHAnsi" w:cstheme="minorHAnsi"/>
          <w:szCs w:val="24"/>
        </w:rPr>
      </w:pPr>
      <w:r w:rsidRPr="000F539C">
        <w:rPr>
          <w:rFonts w:asciiTheme="minorHAnsi" w:hAnsiTheme="minorHAnsi" w:cstheme="minorHAnsi"/>
          <w:szCs w:val="24"/>
        </w:rPr>
        <w:lastRenderedPageBreak/>
        <w:t>crime to crime and social care (tackling vulnerability compounded by demand being shunted to policing by other agencies)</w:t>
      </w:r>
    </w:p>
    <w:p w14:paraId="6063DB75" w14:textId="02E199A3" w:rsidR="00513161" w:rsidRDefault="00BE0F50" w:rsidP="00327CB1">
      <w:pPr>
        <w:pStyle w:val="Heading1"/>
        <w:numPr>
          <w:ilvl w:val="0"/>
          <w:numId w:val="0"/>
        </w:numPr>
        <w:spacing w:before="240" w:after="240"/>
        <w:ind w:left="709" w:hanging="709"/>
        <w:rPr>
          <w:rFonts w:asciiTheme="minorHAnsi" w:hAnsiTheme="minorHAnsi" w:cstheme="minorHAnsi"/>
          <w:b w:val="0"/>
        </w:rPr>
      </w:pPr>
      <w:r>
        <w:rPr>
          <w:b w:val="0"/>
          <w:lang w:eastAsia="x-none"/>
        </w:rPr>
        <w:t>6.6</w:t>
      </w:r>
      <w:r w:rsidR="00017271">
        <w:rPr>
          <w:b w:val="0"/>
          <w:lang w:eastAsia="x-none"/>
        </w:rPr>
        <w:tab/>
      </w:r>
      <w:r w:rsidR="000F539C" w:rsidRPr="000F539C">
        <w:rPr>
          <w:rFonts w:asciiTheme="minorHAnsi" w:hAnsiTheme="minorHAnsi" w:cstheme="minorHAnsi"/>
          <w:b w:val="0"/>
        </w:rPr>
        <w:t>Over the period of the plan we will be seeking to realise addit</w:t>
      </w:r>
      <w:r w:rsidR="00781E85">
        <w:rPr>
          <w:rFonts w:asciiTheme="minorHAnsi" w:hAnsiTheme="minorHAnsi" w:cstheme="minorHAnsi"/>
          <w:b w:val="0"/>
        </w:rPr>
        <w:t>i</w:t>
      </w:r>
      <w:r w:rsidR="000F539C" w:rsidRPr="000F539C">
        <w:rPr>
          <w:rFonts w:asciiTheme="minorHAnsi" w:hAnsiTheme="minorHAnsi" w:cstheme="minorHAnsi"/>
          <w:b w:val="0"/>
        </w:rPr>
        <w:t>onal benefits of collaboration, investment in technology, e.g. the new ABLE system which will links finance and HR system, national digital programmes and workforce productivity.</w:t>
      </w:r>
    </w:p>
    <w:p w14:paraId="2F73D873" w14:textId="33A6EA2D" w:rsidR="002279D1" w:rsidRPr="00276953" w:rsidRDefault="00BE0F50" w:rsidP="00266383">
      <w:pPr>
        <w:pStyle w:val="Heading1"/>
        <w:numPr>
          <w:ilvl w:val="0"/>
          <w:numId w:val="0"/>
        </w:numPr>
        <w:spacing w:before="240" w:after="240"/>
        <w:ind w:left="709" w:hanging="709"/>
      </w:pPr>
      <w:r>
        <w:t>7</w:t>
      </w:r>
      <w:r w:rsidR="002279D1" w:rsidRPr="00276953">
        <w:t>.</w:t>
      </w:r>
      <w:r w:rsidR="002279D1" w:rsidRPr="00276953">
        <w:tab/>
      </w:r>
      <w:r>
        <w:t>Robustness of estimates</w:t>
      </w:r>
    </w:p>
    <w:p w14:paraId="26474F03" w14:textId="152A4305" w:rsidR="00BE0F50" w:rsidRDefault="00BE0F50" w:rsidP="00BE0F50">
      <w:pPr>
        <w:numPr>
          <w:ilvl w:val="0"/>
          <w:numId w:val="0"/>
        </w:numPr>
        <w:autoSpaceDE w:val="0"/>
        <w:autoSpaceDN w:val="0"/>
        <w:adjustRightInd w:val="0"/>
        <w:spacing w:after="0"/>
        <w:ind w:left="709" w:hanging="709"/>
        <w:rPr>
          <w:rFonts w:asciiTheme="minorHAnsi" w:hAnsiTheme="minorHAnsi" w:cstheme="minorHAnsi"/>
        </w:rPr>
      </w:pPr>
      <w:r>
        <w:t>7</w:t>
      </w:r>
      <w:r w:rsidR="007F03EA">
        <w:t>.1</w:t>
      </w:r>
      <w:r w:rsidR="007F03EA">
        <w:tab/>
      </w:r>
      <w:r>
        <w:rPr>
          <w:rFonts w:asciiTheme="minorHAnsi" w:hAnsiTheme="minorHAnsi" w:cstheme="minorHAnsi"/>
        </w:rPr>
        <w:t xml:space="preserve">Under </w:t>
      </w:r>
      <w:r w:rsidRPr="006269C7">
        <w:rPr>
          <w:rFonts w:asciiTheme="minorHAnsi" w:hAnsiTheme="minorHAnsi" w:cstheme="minorHAnsi"/>
        </w:rPr>
        <w:t>Section 25 of the Local Government Act 2003, the Commissioner’s C</w:t>
      </w:r>
      <w:r w:rsidR="004931D9">
        <w:rPr>
          <w:rFonts w:asciiTheme="minorHAnsi" w:hAnsiTheme="minorHAnsi" w:cstheme="minorHAnsi"/>
        </w:rPr>
        <w:t xml:space="preserve">hief </w:t>
      </w:r>
      <w:r w:rsidRPr="006269C7">
        <w:rPr>
          <w:rFonts w:asciiTheme="minorHAnsi" w:hAnsiTheme="minorHAnsi" w:cstheme="minorHAnsi"/>
        </w:rPr>
        <w:t>F</w:t>
      </w:r>
      <w:r w:rsidR="004931D9">
        <w:rPr>
          <w:rFonts w:asciiTheme="minorHAnsi" w:hAnsiTheme="minorHAnsi" w:cstheme="minorHAnsi"/>
        </w:rPr>
        <w:t xml:space="preserve">inance </w:t>
      </w:r>
      <w:r w:rsidRPr="006269C7">
        <w:rPr>
          <w:rFonts w:asciiTheme="minorHAnsi" w:hAnsiTheme="minorHAnsi" w:cstheme="minorHAnsi"/>
        </w:rPr>
        <w:t>O</w:t>
      </w:r>
      <w:r w:rsidR="004931D9">
        <w:rPr>
          <w:rFonts w:asciiTheme="minorHAnsi" w:hAnsiTheme="minorHAnsi" w:cstheme="minorHAnsi"/>
        </w:rPr>
        <w:t>fficer (CFO)</w:t>
      </w:r>
      <w:r w:rsidRPr="006269C7">
        <w:rPr>
          <w:rFonts w:asciiTheme="minorHAnsi" w:hAnsiTheme="minorHAnsi" w:cstheme="minorHAnsi"/>
        </w:rPr>
        <w:t xml:space="preserve"> is required to report on the robustness of the estimates made for the purposes of the budget </w:t>
      </w:r>
      <w:r>
        <w:rPr>
          <w:rFonts w:asciiTheme="minorHAnsi" w:hAnsiTheme="minorHAnsi" w:cstheme="minorHAnsi"/>
        </w:rPr>
        <w:t>calculations.</w:t>
      </w:r>
    </w:p>
    <w:p w14:paraId="03853859" w14:textId="77777777" w:rsidR="007B79DE" w:rsidRDefault="007B79DE" w:rsidP="00BE0F50">
      <w:pPr>
        <w:numPr>
          <w:ilvl w:val="0"/>
          <w:numId w:val="0"/>
        </w:numPr>
        <w:autoSpaceDE w:val="0"/>
        <w:autoSpaceDN w:val="0"/>
        <w:adjustRightInd w:val="0"/>
        <w:spacing w:after="0"/>
        <w:ind w:left="709" w:hanging="709"/>
        <w:rPr>
          <w:rFonts w:asciiTheme="minorHAnsi" w:hAnsiTheme="minorHAnsi" w:cstheme="minorHAnsi"/>
        </w:rPr>
      </w:pPr>
    </w:p>
    <w:p w14:paraId="2E6A82C0" w14:textId="560D2905" w:rsidR="00BE0F50" w:rsidRDefault="00BE0F50" w:rsidP="00BE0F50">
      <w:pPr>
        <w:numPr>
          <w:ilvl w:val="0"/>
          <w:numId w:val="0"/>
        </w:numPr>
        <w:autoSpaceDE w:val="0"/>
        <w:autoSpaceDN w:val="0"/>
        <w:adjustRightInd w:val="0"/>
        <w:spacing w:after="0"/>
        <w:ind w:left="709" w:hanging="709"/>
        <w:rPr>
          <w:rFonts w:asciiTheme="minorHAnsi" w:hAnsiTheme="minorHAnsi" w:cstheme="minorHAnsi"/>
        </w:rPr>
      </w:pPr>
      <w:r>
        <w:t>7</w:t>
      </w:r>
      <w:r w:rsidR="007F03EA">
        <w:t>.2</w:t>
      </w:r>
      <w:r w:rsidR="007F03EA">
        <w:tab/>
      </w:r>
      <w:r>
        <w:rPr>
          <w:rFonts w:asciiTheme="minorHAnsi" w:hAnsiTheme="minorHAnsi" w:cstheme="minorHAnsi"/>
        </w:rPr>
        <w:t xml:space="preserve">Work on </w:t>
      </w:r>
      <w:r w:rsidRPr="006269C7">
        <w:rPr>
          <w:rFonts w:asciiTheme="minorHAnsi" w:hAnsiTheme="minorHAnsi" w:cstheme="minorHAnsi"/>
        </w:rPr>
        <w:t>the 201</w:t>
      </w:r>
      <w:r>
        <w:rPr>
          <w:rFonts w:asciiTheme="minorHAnsi" w:hAnsiTheme="minorHAnsi" w:cstheme="minorHAnsi"/>
        </w:rPr>
        <w:t>9</w:t>
      </w:r>
      <w:r w:rsidRPr="006269C7">
        <w:rPr>
          <w:rFonts w:asciiTheme="minorHAnsi" w:hAnsiTheme="minorHAnsi" w:cstheme="minorHAnsi"/>
        </w:rPr>
        <w:t>/</w:t>
      </w:r>
      <w:r>
        <w:rPr>
          <w:rFonts w:asciiTheme="minorHAnsi" w:hAnsiTheme="minorHAnsi" w:cstheme="minorHAnsi"/>
        </w:rPr>
        <w:t>20</w:t>
      </w:r>
      <w:r w:rsidRPr="006269C7">
        <w:rPr>
          <w:rFonts w:asciiTheme="minorHAnsi" w:hAnsiTheme="minorHAnsi" w:cstheme="minorHAnsi"/>
        </w:rPr>
        <w:t xml:space="preserve"> budget gap started early in 201</w:t>
      </w:r>
      <w:r>
        <w:rPr>
          <w:rFonts w:asciiTheme="minorHAnsi" w:hAnsiTheme="minorHAnsi" w:cstheme="minorHAnsi"/>
        </w:rPr>
        <w:t>8</w:t>
      </w:r>
      <w:r w:rsidRPr="006269C7">
        <w:rPr>
          <w:rFonts w:asciiTheme="minorHAnsi" w:hAnsiTheme="minorHAnsi" w:cstheme="minorHAnsi"/>
        </w:rPr>
        <w:t>/1</w:t>
      </w:r>
      <w:r>
        <w:rPr>
          <w:rFonts w:asciiTheme="minorHAnsi" w:hAnsiTheme="minorHAnsi" w:cstheme="minorHAnsi"/>
        </w:rPr>
        <w:t>9</w:t>
      </w:r>
      <w:r w:rsidRPr="006269C7">
        <w:rPr>
          <w:rFonts w:asciiTheme="minorHAnsi" w:hAnsiTheme="minorHAnsi" w:cstheme="minorHAnsi"/>
        </w:rPr>
        <w:t xml:space="preserve">, as the Constabulary identified savings during the financial year which contribute towards balancing the budgets for the next financial year.  This is the established practice, which ensures that the savings and efficiencies are achievable and the Constabulary continually strives to ensure effective and efficient </w:t>
      </w:r>
      <w:r>
        <w:rPr>
          <w:rFonts w:asciiTheme="minorHAnsi" w:hAnsiTheme="minorHAnsi" w:cstheme="minorHAnsi"/>
        </w:rPr>
        <w:t>policing.</w:t>
      </w:r>
    </w:p>
    <w:p w14:paraId="28CF5406" w14:textId="77777777" w:rsidR="007B79DE" w:rsidRDefault="007B79DE" w:rsidP="00BE0F50">
      <w:pPr>
        <w:numPr>
          <w:ilvl w:val="0"/>
          <w:numId w:val="0"/>
        </w:numPr>
        <w:autoSpaceDE w:val="0"/>
        <w:autoSpaceDN w:val="0"/>
        <w:adjustRightInd w:val="0"/>
        <w:spacing w:after="0"/>
        <w:ind w:left="709" w:hanging="709"/>
        <w:rPr>
          <w:rFonts w:asciiTheme="minorHAnsi" w:hAnsiTheme="minorHAnsi" w:cstheme="minorHAnsi"/>
        </w:rPr>
      </w:pPr>
    </w:p>
    <w:p w14:paraId="4E110100" w14:textId="55328480" w:rsidR="00BE0F50" w:rsidRDefault="00BE0F50" w:rsidP="00BE0F50">
      <w:pPr>
        <w:numPr>
          <w:ilvl w:val="0"/>
          <w:numId w:val="0"/>
        </w:numPr>
        <w:autoSpaceDE w:val="0"/>
        <w:autoSpaceDN w:val="0"/>
        <w:adjustRightInd w:val="0"/>
        <w:spacing w:after="0"/>
        <w:ind w:left="709" w:hanging="709"/>
        <w:rPr>
          <w:rFonts w:asciiTheme="minorHAnsi" w:hAnsiTheme="minorHAnsi" w:cstheme="minorHAnsi"/>
        </w:rPr>
      </w:pPr>
      <w:r>
        <w:t xml:space="preserve">7.3 </w:t>
      </w:r>
      <w:r>
        <w:tab/>
      </w:r>
      <w:r>
        <w:rPr>
          <w:rFonts w:asciiTheme="minorHAnsi" w:hAnsiTheme="minorHAnsi" w:cstheme="minorHAnsi"/>
        </w:rPr>
        <w:t xml:space="preserve">A </w:t>
      </w:r>
      <w:r w:rsidRPr="006269C7">
        <w:rPr>
          <w:rFonts w:asciiTheme="minorHAnsi" w:hAnsiTheme="minorHAnsi" w:cstheme="minorHAnsi"/>
        </w:rPr>
        <w:t xml:space="preserve">sound financial strategy is the key enabler to the achievement of the pledges in the Plan, the objectives of the operational policing strategy and the protection of front-line policing.  One of the best ways to keep people safe and maintain police resources and people’s confidence in the police is to place an emphasis on long-term financial and strategic management as a whole.  The Commissioner and Constabulary never look at expenditure numbers in </w:t>
      </w:r>
      <w:r>
        <w:rPr>
          <w:rFonts w:asciiTheme="minorHAnsi" w:hAnsiTheme="minorHAnsi" w:cstheme="minorHAnsi"/>
        </w:rPr>
        <w:t>isolation.</w:t>
      </w:r>
    </w:p>
    <w:p w14:paraId="34D72BAB" w14:textId="77777777" w:rsidR="007B79DE" w:rsidRDefault="007B79DE" w:rsidP="00BE0F50">
      <w:pPr>
        <w:numPr>
          <w:ilvl w:val="0"/>
          <w:numId w:val="0"/>
        </w:numPr>
        <w:autoSpaceDE w:val="0"/>
        <w:autoSpaceDN w:val="0"/>
        <w:adjustRightInd w:val="0"/>
        <w:spacing w:after="0"/>
        <w:ind w:left="709" w:hanging="709"/>
        <w:rPr>
          <w:rFonts w:asciiTheme="minorHAnsi" w:hAnsiTheme="minorHAnsi" w:cstheme="minorHAnsi"/>
        </w:rPr>
      </w:pPr>
    </w:p>
    <w:p w14:paraId="6731CD1C" w14:textId="49690426" w:rsidR="00BE0F50" w:rsidRDefault="00BE0F50" w:rsidP="00BE0F50">
      <w:pPr>
        <w:numPr>
          <w:ilvl w:val="0"/>
          <w:numId w:val="0"/>
        </w:numPr>
        <w:autoSpaceDE w:val="0"/>
        <w:autoSpaceDN w:val="0"/>
        <w:adjustRightInd w:val="0"/>
        <w:spacing w:after="0"/>
        <w:ind w:left="709" w:hanging="709"/>
        <w:rPr>
          <w:rFonts w:asciiTheme="minorHAnsi" w:hAnsiTheme="minorHAnsi" w:cstheme="minorHAnsi"/>
        </w:rPr>
      </w:pPr>
      <w:r>
        <w:rPr>
          <w:rFonts w:asciiTheme="minorHAnsi" w:hAnsiTheme="minorHAnsi" w:cstheme="minorHAnsi"/>
        </w:rPr>
        <w:t>7.4</w:t>
      </w:r>
      <w:r>
        <w:rPr>
          <w:rFonts w:asciiTheme="minorHAnsi" w:hAnsiTheme="minorHAnsi" w:cstheme="minorHAnsi"/>
        </w:rPr>
        <w:tab/>
        <w:t xml:space="preserve">Analysing </w:t>
      </w:r>
      <w:r w:rsidRPr="006269C7">
        <w:rPr>
          <w:rFonts w:asciiTheme="minorHAnsi" w:hAnsiTheme="minorHAnsi" w:cstheme="minorHAnsi"/>
        </w:rPr>
        <w:t xml:space="preserve">and setting the Commissioner’s and Constabulary’s budgets is an iterative and ongoing process.  Initial drafts of the following year’s budget are prepared throughout the current year.  The budget setting process continues in earnest in September.  The known factors including contractual commitments, cost pressures and savings identified during the current financial year, alongside assumptions relating to central government funding.  These factors set the financial landscape for the coming year.  The Constabulary’s Budget Managers are tasked with reviewing their budgets and recommending savings.  This work is undertaken in close co-operation with the Constabulary’s Finance </w:t>
      </w:r>
      <w:r>
        <w:rPr>
          <w:rFonts w:asciiTheme="minorHAnsi" w:hAnsiTheme="minorHAnsi" w:cstheme="minorHAnsi"/>
        </w:rPr>
        <w:t>Team.</w:t>
      </w:r>
    </w:p>
    <w:p w14:paraId="3DB30F85" w14:textId="77777777" w:rsidR="007B79DE" w:rsidRDefault="007B79DE" w:rsidP="00BE0F50">
      <w:pPr>
        <w:numPr>
          <w:ilvl w:val="0"/>
          <w:numId w:val="0"/>
        </w:numPr>
        <w:autoSpaceDE w:val="0"/>
        <w:autoSpaceDN w:val="0"/>
        <w:adjustRightInd w:val="0"/>
        <w:spacing w:after="0"/>
        <w:ind w:left="709" w:hanging="709"/>
        <w:rPr>
          <w:rFonts w:asciiTheme="minorHAnsi" w:hAnsiTheme="minorHAnsi" w:cstheme="minorHAnsi"/>
        </w:rPr>
      </w:pPr>
    </w:p>
    <w:p w14:paraId="13EDAE86" w14:textId="7D093754" w:rsidR="00BE0F50" w:rsidRDefault="00BE0F50" w:rsidP="00BE0F50">
      <w:pPr>
        <w:numPr>
          <w:ilvl w:val="0"/>
          <w:numId w:val="0"/>
        </w:numPr>
        <w:autoSpaceDE w:val="0"/>
        <w:autoSpaceDN w:val="0"/>
        <w:adjustRightInd w:val="0"/>
        <w:spacing w:after="0"/>
        <w:ind w:left="709" w:hanging="709"/>
        <w:rPr>
          <w:rFonts w:asciiTheme="minorHAnsi" w:hAnsiTheme="minorHAnsi" w:cstheme="minorHAnsi"/>
        </w:rPr>
      </w:pPr>
      <w:r>
        <w:rPr>
          <w:rFonts w:asciiTheme="minorHAnsi" w:hAnsiTheme="minorHAnsi" w:cstheme="minorHAnsi"/>
        </w:rPr>
        <w:t>7.5</w:t>
      </w:r>
      <w:r>
        <w:rPr>
          <w:rFonts w:asciiTheme="minorHAnsi" w:hAnsiTheme="minorHAnsi" w:cstheme="minorHAnsi"/>
        </w:rPr>
        <w:tab/>
        <w:t xml:space="preserve">The </w:t>
      </w:r>
      <w:r w:rsidRPr="006269C7">
        <w:rPr>
          <w:rFonts w:asciiTheme="minorHAnsi" w:hAnsiTheme="minorHAnsi" w:cstheme="minorHAnsi"/>
        </w:rPr>
        <w:t xml:space="preserve">Commissioner’s CFO and the Constabulary’s Director of Finance and Resources meet regularly from July to consider the draft budget and MTFP, challenging assumptions and analysing savings in order to </w:t>
      </w:r>
      <w:r w:rsidR="004931D9">
        <w:rPr>
          <w:rFonts w:asciiTheme="minorHAnsi" w:hAnsiTheme="minorHAnsi" w:cstheme="minorHAnsi"/>
        </w:rPr>
        <w:t xml:space="preserve">provide </w:t>
      </w:r>
      <w:r w:rsidRPr="006269C7">
        <w:rPr>
          <w:rFonts w:asciiTheme="minorHAnsi" w:hAnsiTheme="minorHAnsi" w:cstheme="minorHAnsi"/>
        </w:rPr>
        <w:t xml:space="preserve">a realistic and sustainable financial plan that enables the Constabulary to bring the operational policing strategy to </w:t>
      </w:r>
      <w:r>
        <w:rPr>
          <w:rFonts w:asciiTheme="minorHAnsi" w:hAnsiTheme="minorHAnsi" w:cstheme="minorHAnsi"/>
        </w:rPr>
        <w:t>fruition.</w:t>
      </w:r>
    </w:p>
    <w:p w14:paraId="313CED53" w14:textId="0091FEB1" w:rsidR="00496C7A" w:rsidRPr="00276953" w:rsidRDefault="00BE0F50" w:rsidP="00314D52">
      <w:pPr>
        <w:numPr>
          <w:ilvl w:val="0"/>
          <w:numId w:val="0"/>
        </w:numPr>
        <w:spacing w:before="240" w:after="240"/>
      </w:pPr>
      <w:r>
        <w:rPr>
          <w:b/>
        </w:rPr>
        <w:t>8.</w:t>
      </w:r>
      <w:r w:rsidR="00496C7A" w:rsidRPr="00276953">
        <w:rPr>
          <w:b/>
        </w:rPr>
        <w:tab/>
        <w:t>Recommendation</w:t>
      </w:r>
    </w:p>
    <w:p w14:paraId="5A454714" w14:textId="55295B47" w:rsidR="00304130" w:rsidRDefault="00BE0F50" w:rsidP="00394971">
      <w:pPr>
        <w:numPr>
          <w:ilvl w:val="0"/>
          <w:numId w:val="0"/>
        </w:numPr>
        <w:ind w:left="709" w:hanging="709"/>
      </w:pPr>
      <w:r>
        <w:t>8</w:t>
      </w:r>
      <w:r w:rsidR="00841AE9" w:rsidRPr="00276953">
        <w:t>.1</w:t>
      </w:r>
      <w:r w:rsidR="00841AE9" w:rsidRPr="00276953">
        <w:tab/>
      </w:r>
      <w:r w:rsidR="00EE44D8" w:rsidRPr="00276953">
        <w:t xml:space="preserve">Taking into account all the information contained in the report the Commissioner is </w:t>
      </w:r>
      <w:r w:rsidR="009B53BE">
        <w:t>recommending</w:t>
      </w:r>
      <w:r w:rsidR="00395C0F">
        <w:t xml:space="preserve"> that</w:t>
      </w:r>
      <w:r w:rsidR="00EE44D8" w:rsidRPr="00276953">
        <w:t xml:space="preserve"> the </w:t>
      </w:r>
      <w:r w:rsidR="00395C0F">
        <w:t>Police and Crime Panel</w:t>
      </w:r>
      <w:r w:rsidR="002F5618">
        <w:t xml:space="preserve"> </w:t>
      </w:r>
      <w:r w:rsidR="002D6F5E" w:rsidRPr="00276953">
        <w:t>endorse</w:t>
      </w:r>
      <w:r w:rsidR="00EE44D8" w:rsidRPr="00276953">
        <w:t xml:space="preserve"> his </w:t>
      </w:r>
      <w:r w:rsidR="002D6F5E" w:rsidRPr="00276953">
        <w:t>recommendation</w:t>
      </w:r>
      <w:r w:rsidR="00EE44D8" w:rsidRPr="00276953">
        <w:t xml:space="preserve"> to </w:t>
      </w:r>
      <w:r w:rsidR="00193CF2" w:rsidRPr="00394971">
        <w:t>increase</w:t>
      </w:r>
      <w:r w:rsidR="00276953" w:rsidRPr="00394971">
        <w:t xml:space="preserve"> the </w:t>
      </w:r>
      <w:r w:rsidR="001445A1" w:rsidRPr="00394971">
        <w:t xml:space="preserve">policing element of </w:t>
      </w:r>
      <w:r w:rsidR="00276953" w:rsidRPr="00394971">
        <w:t>council tax</w:t>
      </w:r>
      <w:r w:rsidR="00193CF2" w:rsidRPr="00394971">
        <w:t xml:space="preserve"> by </w:t>
      </w:r>
      <w:r w:rsidR="004A0895" w:rsidRPr="00394971">
        <w:t>£</w:t>
      </w:r>
      <w:r w:rsidR="000D6BF8" w:rsidRPr="00394971">
        <w:t>23.94</w:t>
      </w:r>
      <w:r w:rsidR="004A0895" w:rsidRPr="00394971">
        <w:t>;</w:t>
      </w:r>
      <w:r w:rsidR="001445A1" w:rsidRPr="00394971">
        <w:t xml:space="preserve"> this </w:t>
      </w:r>
      <w:r w:rsidR="00C15A1B" w:rsidRPr="00394971">
        <w:t xml:space="preserve">will </w:t>
      </w:r>
      <w:r w:rsidR="00193CF2" w:rsidRPr="00394971">
        <w:t xml:space="preserve">increase </w:t>
      </w:r>
      <w:r w:rsidR="001445A1" w:rsidRPr="00394971">
        <w:t xml:space="preserve">the policing element of </w:t>
      </w:r>
      <w:r w:rsidR="00193CF2" w:rsidRPr="00394971">
        <w:t>Band D council tax from</w:t>
      </w:r>
      <w:r w:rsidR="00C15A1B" w:rsidRPr="00394971">
        <w:t xml:space="preserve"> </w:t>
      </w:r>
      <w:r w:rsidR="00781E85" w:rsidRPr="00394971">
        <w:t>£198.72</w:t>
      </w:r>
      <w:r w:rsidR="00C15A1B" w:rsidRPr="00394971">
        <w:t>p</w:t>
      </w:r>
      <w:r w:rsidR="00296511" w:rsidRPr="00394971">
        <w:t xml:space="preserve"> in 201</w:t>
      </w:r>
      <w:r w:rsidR="00781E85" w:rsidRPr="00394971">
        <w:t>8</w:t>
      </w:r>
      <w:r w:rsidR="00296511" w:rsidRPr="00394971">
        <w:t>/1</w:t>
      </w:r>
      <w:r w:rsidR="00781E85" w:rsidRPr="00394971">
        <w:t>9</w:t>
      </w:r>
      <w:r w:rsidR="000D6BF8" w:rsidRPr="00394971">
        <w:t xml:space="preserve"> </w:t>
      </w:r>
      <w:r w:rsidR="009D2A2D" w:rsidRPr="00394971">
        <w:t xml:space="preserve">to </w:t>
      </w:r>
      <w:r w:rsidR="00781E85" w:rsidRPr="00394971">
        <w:t>£222.66</w:t>
      </w:r>
      <w:r w:rsidR="00153068" w:rsidRPr="00394971">
        <w:t xml:space="preserve"> per annum, an</w:t>
      </w:r>
      <w:r w:rsidR="00153068" w:rsidRPr="00153068">
        <w:t xml:space="preserve"> </w:t>
      </w:r>
      <w:r w:rsidR="00153068" w:rsidRPr="00153068">
        <w:lastRenderedPageBreak/>
        <w:t xml:space="preserve">increase of </w:t>
      </w:r>
      <w:r w:rsidR="004A0895">
        <w:t>£</w:t>
      </w:r>
      <w:r w:rsidR="00395C0F">
        <w:t>2</w:t>
      </w:r>
      <w:r w:rsidR="00153068" w:rsidRPr="00153068">
        <w:t xml:space="preserve"> per </w:t>
      </w:r>
      <w:r w:rsidR="004A0895">
        <w:t>month</w:t>
      </w:r>
      <w:r w:rsidR="00C15A1B" w:rsidRPr="001445A1">
        <w:t>.</w:t>
      </w:r>
      <w:r w:rsidR="007F5FA9">
        <w:t xml:space="preserve"> </w:t>
      </w:r>
      <w:r w:rsidR="00F82ECF">
        <w:t>It should be noted that this recommendation is subject to the final results of public consultation.</w:t>
      </w:r>
    </w:p>
    <w:p w14:paraId="669D94C0" w14:textId="77777777" w:rsidR="00394971" w:rsidRDefault="00394971" w:rsidP="00394971">
      <w:pPr>
        <w:numPr>
          <w:ilvl w:val="0"/>
          <w:numId w:val="0"/>
        </w:numPr>
        <w:ind w:left="709" w:hanging="709"/>
      </w:pPr>
    </w:p>
    <w:p w14:paraId="31D4086F" w14:textId="77777777" w:rsidR="00054FBC" w:rsidRDefault="00054FBC" w:rsidP="00394971">
      <w:pPr>
        <w:numPr>
          <w:ilvl w:val="0"/>
          <w:numId w:val="0"/>
        </w:numPr>
        <w:ind w:left="709" w:hanging="709"/>
      </w:pPr>
    </w:p>
    <w:p w14:paraId="2E545255" w14:textId="77777777" w:rsidR="00054FBC" w:rsidRDefault="00054FBC" w:rsidP="00394971">
      <w:pPr>
        <w:numPr>
          <w:ilvl w:val="0"/>
          <w:numId w:val="0"/>
        </w:numPr>
        <w:ind w:left="709" w:hanging="709"/>
      </w:pPr>
    </w:p>
    <w:p w14:paraId="73E74FB5" w14:textId="77777777" w:rsidR="00054FBC" w:rsidRDefault="00054FBC" w:rsidP="00394971">
      <w:pPr>
        <w:numPr>
          <w:ilvl w:val="0"/>
          <w:numId w:val="0"/>
        </w:numPr>
        <w:ind w:left="709" w:hanging="709"/>
      </w:pPr>
    </w:p>
    <w:p w14:paraId="0BE9C1E0" w14:textId="77777777" w:rsidR="00054FBC" w:rsidRDefault="00054FBC" w:rsidP="00394971">
      <w:pPr>
        <w:numPr>
          <w:ilvl w:val="0"/>
          <w:numId w:val="0"/>
        </w:numPr>
        <w:ind w:left="709" w:hanging="709"/>
      </w:pPr>
    </w:p>
    <w:p w14:paraId="21BF703D" w14:textId="77777777" w:rsidR="00054FBC" w:rsidRDefault="00054FBC" w:rsidP="00394971">
      <w:pPr>
        <w:numPr>
          <w:ilvl w:val="0"/>
          <w:numId w:val="0"/>
        </w:numPr>
        <w:ind w:left="709" w:hanging="709"/>
      </w:pPr>
    </w:p>
    <w:p w14:paraId="4841A109" w14:textId="77777777" w:rsidR="00054FBC" w:rsidRDefault="00054FBC" w:rsidP="00394971">
      <w:pPr>
        <w:numPr>
          <w:ilvl w:val="0"/>
          <w:numId w:val="0"/>
        </w:numPr>
        <w:ind w:left="709" w:hanging="709"/>
      </w:pPr>
    </w:p>
    <w:p w14:paraId="18CBBE0C" w14:textId="77777777" w:rsidR="00054FBC" w:rsidRDefault="00054FBC" w:rsidP="00394971">
      <w:pPr>
        <w:numPr>
          <w:ilvl w:val="0"/>
          <w:numId w:val="0"/>
        </w:numPr>
        <w:ind w:left="709" w:hanging="709"/>
      </w:pPr>
    </w:p>
    <w:p w14:paraId="5B469BCA" w14:textId="77777777" w:rsidR="00054FBC" w:rsidRDefault="00054FBC" w:rsidP="00394971">
      <w:pPr>
        <w:numPr>
          <w:ilvl w:val="0"/>
          <w:numId w:val="0"/>
        </w:numPr>
        <w:ind w:left="709" w:hanging="709"/>
      </w:pPr>
    </w:p>
    <w:p w14:paraId="3ED36E86" w14:textId="77777777" w:rsidR="00054FBC" w:rsidRDefault="00054FBC" w:rsidP="00394971">
      <w:pPr>
        <w:numPr>
          <w:ilvl w:val="0"/>
          <w:numId w:val="0"/>
        </w:numPr>
        <w:ind w:left="709" w:hanging="709"/>
      </w:pPr>
    </w:p>
    <w:p w14:paraId="5043D1DC" w14:textId="77777777" w:rsidR="00054FBC" w:rsidRDefault="00054FBC" w:rsidP="00394971">
      <w:pPr>
        <w:numPr>
          <w:ilvl w:val="0"/>
          <w:numId w:val="0"/>
        </w:numPr>
        <w:ind w:left="709" w:hanging="709"/>
      </w:pPr>
    </w:p>
    <w:p w14:paraId="54D6D430" w14:textId="77777777" w:rsidR="00054FBC" w:rsidRDefault="00054FBC" w:rsidP="00394971">
      <w:pPr>
        <w:numPr>
          <w:ilvl w:val="0"/>
          <w:numId w:val="0"/>
        </w:numPr>
        <w:ind w:left="709" w:hanging="709"/>
      </w:pPr>
    </w:p>
    <w:p w14:paraId="50972B86" w14:textId="77777777" w:rsidR="00054FBC" w:rsidRDefault="00054FBC" w:rsidP="00394971">
      <w:pPr>
        <w:numPr>
          <w:ilvl w:val="0"/>
          <w:numId w:val="0"/>
        </w:numPr>
        <w:ind w:left="709" w:hanging="709"/>
      </w:pPr>
    </w:p>
    <w:p w14:paraId="526D97B5" w14:textId="77777777" w:rsidR="00054FBC" w:rsidRDefault="00054FBC" w:rsidP="00394971">
      <w:pPr>
        <w:numPr>
          <w:ilvl w:val="0"/>
          <w:numId w:val="0"/>
        </w:numPr>
        <w:ind w:left="709" w:hanging="709"/>
      </w:pPr>
    </w:p>
    <w:p w14:paraId="5161E766" w14:textId="77777777" w:rsidR="00054FBC" w:rsidRDefault="00054FBC" w:rsidP="00394971">
      <w:pPr>
        <w:numPr>
          <w:ilvl w:val="0"/>
          <w:numId w:val="0"/>
        </w:numPr>
        <w:ind w:left="709" w:hanging="709"/>
      </w:pPr>
    </w:p>
    <w:p w14:paraId="33F71C6E" w14:textId="77777777" w:rsidR="00054FBC" w:rsidRDefault="00054FBC" w:rsidP="00394971">
      <w:pPr>
        <w:numPr>
          <w:ilvl w:val="0"/>
          <w:numId w:val="0"/>
        </w:numPr>
        <w:ind w:left="709" w:hanging="709"/>
      </w:pPr>
    </w:p>
    <w:p w14:paraId="2A0A82C7" w14:textId="77777777" w:rsidR="00054FBC" w:rsidRDefault="00054FBC" w:rsidP="00394971">
      <w:pPr>
        <w:numPr>
          <w:ilvl w:val="0"/>
          <w:numId w:val="0"/>
        </w:numPr>
        <w:ind w:left="709" w:hanging="709"/>
      </w:pPr>
    </w:p>
    <w:p w14:paraId="46608827" w14:textId="77777777" w:rsidR="00394971" w:rsidRDefault="00394971" w:rsidP="00394971">
      <w:pPr>
        <w:numPr>
          <w:ilvl w:val="0"/>
          <w:numId w:val="0"/>
        </w:numPr>
        <w:ind w:left="709" w:hanging="709"/>
      </w:pPr>
    </w:p>
    <w:p w14:paraId="29CFC1A7" w14:textId="77777777" w:rsidR="007F03E9" w:rsidRDefault="007F03E9" w:rsidP="00394971">
      <w:pPr>
        <w:numPr>
          <w:ilvl w:val="0"/>
          <w:numId w:val="0"/>
        </w:numPr>
        <w:ind w:left="709" w:hanging="709"/>
      </w:pPr>
    </w:p>
    <w:p w14:paraId="2244F4F8" w14:textId="77777777" w:rsidR="007F03E9" w:rsidRDefault="007F03E9" w:rsidP="00394971">
      <w:pPr>
        <w:numPr>
          <w:ilvl w:val="0"/>
          <w:numId w:val="0"/>
        </w:numPr>
        <w:ind w:left="709" w:hanging="709"/>
      </w:pPr>
    </w:p>
    <w:p w14:paraId="4A7684A4" w14:textId="77777777" w:rsidR="007F03E9" w:rsidRDefault="007F03E9" w:rsidP="00394971">
      <w:pPr>
        <w:numPr>
          <w:ilvl w:val="0"/>
          <w:numId w:val="0"/>
        </w:numPr>
        <w:ind w:left="709" w:hanging="709"/>
      </w:pPr>
    </w:p>
    <w:p w14:paraId="3FCB6A69" w14:textId="77777777" w:rsidR="007F03E9" w:rsidRDefault="007F03E9" w:rsidP="00394971">
      <w:pPr>
        <w:numPr>
          <w:ilvl w:val="0"/>
          <w:numId w:val="0"/>
        </w:numPr>
        <w:ind w:left="709" w:hanging="709"/>
      </w:pPr>
    </w:p>
    <w:p w14:paraId="79BE0805" w14:textId="77777777" w:rsidR="007F03E9" w:rsidRDefault="007F03E9" w:rsidP="00394971">
      <w:pPr>
        <w:numPr>
          <w:ilvl w:val="0"/>
          <w:numId w:val="0"/>
        </w:numPr>
        <w:ind w:left="709" w:hanging="709"/>
      </w:pPr>
    </w:p>
    <w:p w14:paraId="0A46ABC5" w14:textId="77777777" w:rsidR="007F03E9" w:rsidRDefault="007F03E9" w:rsidP="00394971">
      <w:pPr>
        <w:numPr>
          <w:ilvl w:val="0"/>
          <w:numId w:val="0"/>
        </w:numPr>
        <w:ind w:left="709" w:hanging="709"/>
      </w:pPr>
    </w:p>
    <w:p w14:paraId="54385319" w14:textId="77777777" w:rsidR="007F03E9" w:rsidRDefault="007F03E9" w:rsidP="00394971">
      <w:pPr>
        <w:numPr>
          <w:ilvl w:val="0"/>
          <w:numId w:val="0"/>
        </w:numPr>
        <w:ind w:left="709" w:hanging="709"/>
      </w:pPr>
    </w:p>
    <w:p w14:paraId="0FD8B835" w14:textId="77777777" w:rsidR="007F03E9" w:rsidRDefault="007F03E9" w:rsidP="00394971">
      <w:pPr>
        <w:numPr>
          <w:ilvl w:val="0"/>
          <w:numId w:val="0"/>
        </w:numPr>
        <w:ind w:left="709" w:hanging="709"/>
      </w:pPr>
    </w:p>
    <w:p w14:paraId="2EC4AC6C" w14:textId="77777777" w:rsidR="00304130" w:rsidRDefault="00304130" w:rsidP="000A534A">
      <w:pPr>
        <w:pStyle w:val="Normal-unumbered"/>
        <w:jc w:val="right"/>
      </w:pPr>
    </w:p>
    <w:p w14:paraId="3C6059B1" w14:textId="77777777" w:rsidR="00624D8A" w:rsidRDefault="00624D8A" w:rsidP="000A534A">
      <w:pPr>
        <w:pStyle w:val="Normal-unumbered"/>
        <w:jc w:val="right"/>
      </w:pPr>
    </w:p>
    <w:p w14:paraId="575DBF07" w14:textId="77777777" w:rsidR="00624D8A" w:rsidRDefault="00624D8A" w:rsidP="000A534A">
      <w:pPr>
        <w:pStyle w:val="Normal-unumbered"/>
        <w:jc w:val="right"/>
      </w:pPr>
    </w:p>
    <w:p w14:paraId="427666AE" w14:textId="77777777" w:rsidR="00624D8A" w:rsidRDefault="00624D8A" w:rsidP="000A534A">
      <w:pPr>
        <w:pStyle w:val="Normal-unumbered"/>
        <w:jc w:val="right"/>
      </w:pPr>
    </w:p>
    <w:p w14:paraId="4A178320" w14:textId="77777777" w:rsidR="00304130" w:rsidRDefault="00304130" w:rsidP="000A534A">
      <w:pPr>
        <w:pStyle w:val="Normal-unumbered"/>
        <w:jc w:val="right"/>
      </w:pPr>
    </w:p>
    <w:p w14:paraId="030E3EF1" w14:textId="77777777" w:rsidR="00304130" w:rsidRDefault="00304130" w:rsidP="000A534A">
      <w:pPr>
        <w:pStyle w:val="Normal-unumbered"/>
        <w:jc w:val="right"/>
      </w:pPr>
    </w:p>
    <w:p w14:paraId="3D79BB62" w14:textId="6284B409" w:rsidR="002F0A93" w:rsidRPr="00642DC4" w:rsidRDefault="002F0A93" w:rsidP="007266CB">
      <w:pPr>
        <w:pStyle w:val="Normal-unumbered"/>
        <w:jc w:val="right"/>
        <w:rPr>
          <w:b/>
          <w:lang w:val="en-GB"/>
        </w:rPr>
      </w:pPr>
      <w:r w:rsidRPr="00A047E2">
        <w:rPr>
          <w:b/>
        </w:rPr>
        <w:lastRenderedPageBreak/>
        <w:t xml:space="preserve">Appendix </w:t>
      </w:r>
      <w:r w:rsidR="003F1CEB">
        <w:rPr>
          <w:b/>
          <w:lang w:val="en-GB"/>
        </w:rPr>
        <w:t>A</w:t>
      </w:r>
    </w:p>
    <w:p w14:paraId="2C009731" w14:textId="77777777" w:rsidR="00981689" w:rsidRDefault="00981689" w:rsidP="00394971">
      <w:pPr>
        <w:pStyle w:val="Normal-unumbered"/>
        <w:ind w:left="0" w:firstLine="0"/>
        <w:rPr>
          <w:b/>
          <w:lang w:val="en-GB"/>
        </w:rPr>
      </w:pPr>
    </w:p>
    <w:p w14:paraId="4B73BD19" w14:textId="5A747D62" w:rsidR="00536FC0" w:rsidRPr="00536FC0" w:rsidRDefault="00C414FE" w:rsidP="00394971">
      <w:pPr>
        <w:pStyle w:val="Normal-unumbered"/>
        <w:ind w:left="0" w:firstLine="0"/>
        <w:rPr>
          <w:b/>
          <w:lang w:val="en-GB"/>
        </w:rPr>
      </w:pPr>
      <w:r w:rsidRPr="00536FC0">
        <w:rPr>
          <w:b/>
          <w:lang w:val="en-GB"/>
        </w:rPr>
        <w:t xml:space="preserve">Estimated </w:t>
      </w:r>
      <w:r w:rsidR="002F0A93" w:rsidRPr="00536FC0">
        <w:rPr>
          <w:b/>
        </w:rPr>
        <w:t>Share of Precept to be paid by ea</w:t>
      </w:r>
      <w:r w:rsidR="006031F9" w:rsidRPr="00536FC0">
        <w:rPr>
          <w:b/>
        </w:rPr>
        <w:t>ch District/City Council in 201</w:t>
      </w:r>
      <w:r w:rsidR="00394971">
        <w:rPr>
          <w:b/>
          <w:lang w:val="en-GB"/>
        </w:rPr>
        <w:t>9/20</w:t>
      </w:r>
    </w:p>
    <w:p w14:paraId="30965590" w14:textId="40969D2B" w:rsidR="002F0A93" w:rsidRDefault="00D86627" w:rsidP="00655831">
      <w:pPr>
        <w:pStyle w:val="Normal-unumbered"/>
        <w:ind w:left="567"/>
      </w:pPr>
      <w:r w:rsidRPr="00655831">
        <w:t xml:space="preserve"> </w:t>
      </w:r>
    </w:p>
    <w:p w14:paraId="68AD2777" w14:textId="12A7A3BA" w:rsidR="009614E6" w:rsidRPr="00655831" w:rsidRDefault="0036659B" w:rsidP="00655831">
      <w:pPr>
        <w:pStyle w:val="Normal-unumbered"/>
        <w:ind w:left="567"/>
      </w:pPr>
      <w:r>
        <w:rPr>
          <w:noProof/>
          <w:lang w:val="en-GB" w:eastAsia="en-GB"/>
        </w:rPr>
        <w:drawing>
          <wp:inline distT="0" distB="0" distL="0" distR="0" wp14:anchorId="4440C04E" wp14:editId="7456CF86">
            <wp:extent cx="5759450" cy="34639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3463925"/>
                    </a:xfrm>
                    <a:prstGeom prst="rect">
                      <a:avLst/>
                    </a:prstGeom>
                  </pic:spPr>
                </pic:pic>
              </a:graphicData>
            </a:graphic>
          </wp:inline>
        </w:drawing>
      </w:r>
    </w:p>
    <w:p w14:paraId="13EA625F" w14:textId="77777777" w:rsidR="00655831" w:rsidRDefault="00655831" w:rsidP="00C414FE">
      <w:pPr>
        <w:pStyle w:val="Normal-unumbered"/>
        <w:ind w:left="0" w:firstLine="0"/>
        <w:rPr>
          <w:sz w:val="20"/>
          <w:lang w:val="en-GB"/>
        </w:rPr>
      </w:pPr>
    </w:p>
    <w:p w14:paraId="75B6DD8E" w14:textId="2C4397AA" w:rsidR="000A09B0" w:rsidRDefault="00AB3FFE" w:rsidP="00C414FE">
      <w:pPr>
        <w:pStyle w:val="Normal-unumbered"/>
        <w:ind w:left="0" w:firstLine="0"/>
        <w:rPr>
          <w:sz w:val="20"/>
          <w:lang w:val="en-GB"/>
        </w:rPr>
      </w:pPr>
      <w:r w:rsidRPr="000A09B0">
        <w:rPr>
          <w:sz w:val="20"/>
          <w:lang w:val="en-GB"/>
        </w:rPr>
        <w:t>The b</w:t>
      </w:r>
      <w:r w:rsidR="00BB5D40" w:rsidRPr="000A09B0">
        <w:rPr>
          <w:sz w:val="20"/>
          <w:lang w:val="en-GB"/>
        </w:rPr>
        <w:t>udgeted 201</w:t>
      </w:r>
      <w:r w:rsidR="007A54D5">
        <w:rPr>
          <w:sz w:val="20"/>
          <w:lang w:val="en-GB"/>
        </w:rPr>
        <w:t>9/20</w:t>
      </w:r>
      <w:r w:rsidR="00F24313" w:rsidRPr="000A09B0">
        <w:rPr>
          <w:sz w:val="20"/>
          <w:lang w:val="en-GB"/>
        </w:rPr>
        <w:t xml:space="preserve"> Precept in MTFP is based on a Council Tax</w:t>
      </w:r>
      <w:r w:rsidR="006D093F">
        <w:rPr>
          <w:sz w:val="20"/>
          <w:lang w:val="en-GB"/>
        </w:rPr>
        <w:t xml:space="preserve"> b</w:t>
      </w:r>
      <w:r w:rsidR="00F24313" w:rsidRPr="000A09B0">
        <w:rPr>
          <w:sz w:val="20"/>
          <w:lang w:val="en-GB"/>
        </w:rPr>
        <w:t xml:space="preserve">ase increase of </w:t>
      </w:r>
      <w:r w:rsidR="007A54D5">
        <w:rPr>
          <w:sz w:val="20"/>
          <w:lang w:val="en-GB"/>
        </w:rPr>
        <w:t>1.5</w:t>
      </w:r>
      <w:r w:rsidR="002E49D5" w:rsidRPr="000A09B0">
        <w:rPr>
          <w:sz w:val="20"/>
          <w:lang w:val="en-GB"/>
        </w:rPr>
        <w:t xml:space="preserve">%.  </w:t>
      </w:r>
    </w:p>
    <w:p w14:paraId="125D4CFC" w14:textId="7AE2DE16" w:rsidR="002F0A93" w:rsidRPr="00685FF2" w:rsidRDefault="002E49D5" w:rsidP="00C414FE">
      <w:pPr>
        <w:pStyle w:val="Normal-unumbered"/>
        <w:ind w:left="0" w:firstLine="0"/>
        <w:rPr>
          <w:sz w:val="20"/>
          <w:lang w:val="en-GB"/>
        </w:rPr>
      </w:pPr>
      <w:r w:rsidRPr="00EC0260">
        <w:rPr>
          <w:sz w:val="20"/>
          <w:lang w:val="en-GB"/>
        </w:rPr>
        <w:t>The e</w:t>
      </w:r>
      <w:r w:rsidR="00F24313" w:rsidRPr="00EC0260">
        <w:rPr>
          <w:sz w:val="20"/>
          <w:lang w:val="en-GB"/>
        </w:rPr>
        <w:t xml:space="preserve">stimated </w:t>
      </w:r>
      <w:r w:rsidRPr="00EC0260">
        <w:rPr>
          <w:sz w:val="20"/>
          <w:lang w:val="en-GB"/>
        </w:rPr>
        <w:t>Collection Fund figure is</w:t>
      </w:r>
      <w:r w:rsidR="00AB3FFE" w:rsidRPr="00EC0260">
        <w:rPr>
          <w:sz w:val="20"/>
          <w:lang w:val="en-GB"/>
        </w:rPr>
        <w:t xml:space="preserve"> </w:t>
      </w:r>
      <w:r w:rsidR="00F24313" w:rsidRPr="00EC0260">
        <w:rPr>
          <w:sz w:val="20"/>
          <w:lang w:val="en-GB"/>
        </w:rPr>
        <w:t>awaited from South Ca</w:t>
      </w:r>
      <w:r w:rsidR="00685FF2" w:rsidRPr="00EC0260">
        <w:rPr>
          <w:sz w:val="20"/>
          <w:lang w:val="en-GB"/>
        </w:rPr>
        <w:t>mbridgeshire District Council</w:t>
      </w:r>
      <w:r w:rsidR="00CC1B73" w:rsidRPr="00EC0260">
        <w:rPr>
          <w:sz w:val="20"/>
          <w:lang w:val="en-GB"/>
        </w:rPr>
        <w:t>.</w:t>
      </w:r>
    </w:p>
    <w:p w14:paraId="193EED67" w14:textId="77777777" w:rsidR="002F0A93" w:rsidRPr="002734F6" w:rsidRDefault="002F0A93" w:rsidP="002F0A93">
      <w:pPr>
        <w:pStyle w:val="Normal-unumbered"/>
        <w:ind w:hanging="11"/>
        <w:rPr>
          <w:highlight w:val="yellow"/>
          <w:lang w:val="en-GB"/>
        </w:rPr>
      </w:pPr>
    </w:p>
    <w:p w14:paraId="1E264DBB" w14:textId="77777777" w:rsidR="002F0A93" w:rsidRPr="002734F6" w:rsidRDefault="002F0A93" w:rsidP="002F0A93">
      <w:pPr>
        <w:pStyle w:val="Normal-unumbered"/>
        <w:ind w:hanging="11"/>
        <w:rPr>
          <w:highlight w:val="yellow"/>
          <w:lang w:val="en-GB"/>
        </w:rPr>
      </w:pPr>
    </w:p>
    <w:p w14:paraId="3E80B316" w14:textId="77777777" w:rsidR="002F0A93" w:rsidRPr="002734F6" w:rsidRDefault="002F0A93" w:rsidP="002F0A93">
      <w:pPr>
        <w:pStyle w:val="Normal-unumbered"/>
        <w:ind w:hanging="11"/>
        <w:rPr>
          <w:highlight w:val="yellow"/>
          <w:lang w:val="en-GB"/>
        </w:rPr>
      </w:pPr>
    </w:p>
    <w:p w14:paraId="6A6316A6" w14:textId="77777777" w:rsidR="002F0A93" w:rsidRPr="002734F6" w:rsidRDefault="002F0A93" w:rsidP="002F0A93">
      <w:pPr>
        <w:pStyle w:val="Normal-unumbered"/>
        <w:ind w:hanging="11"/>
        <w:rPr>
          <w:highlight w:val="yellow"/>
          <w:lang w:val="en-GB"/>
        </w:rPr>
      </w:pPr>
    </w:p>
    <w:p w14:paraId="7668DF54" w14:textId="77777777" w:rsidR="002F0A93" w:rsidRPr="002734F6" w:rsidRDefault="002F0A93" w:rsidP="002F0A93">
      <w:pPr>
        <w:pStyle w:val="Normal-unumbered"/>
        <w:ind w:hanging="11"/>
        <w:rPr>
          <w:highlight w:val="yellow"/>
          <w:lang w:val="en-GB"/>
        </w:rPr>
      </w:pPr>
    </w:p>
    <w:p w14:paraId="304C917A" w14:textId="77777777" w:rsidR="002F0A93" w:rsidRPr="002734F6" w:rsidRDefault="002F0A93" w:rsidP="002F0A93">
      <w:pPr>
        <w:pStyle w:val="Normal-unumbered"/>
        <w:ind w:hanging="11"/>
        <w:rPr>
          <w:highlight w:val="yellow"/>
          <w:lang w:val="en-GB"/>
        </w:rPr>
      </w:pPr>
    </w:p>
    <w:p w14:paraId="0475C7D2" w14:textId="77777777" w:rsidR="002F0A93" w:rsidRPr="002734F6" w:rsidRDefault="002F0A93" w:rsidP="002F0A93">
      <w:pPr>
        <w:pStyle w:val="Normal-unumbered"/>
        <w:ind w:hanging="11"/>
        <w:rPr>
          <w:highlight w:val="yellow"/>
          <w:lang w:val="en-GB"/>
        </w:rPr>
      </w:pPr>
    </w:p>
    <w:p w14:paraId="357F763E" w14:textId="77777777" w:rsidR="002F0A93" w:rsidRDefault="002F0A93" w:rsidP="002F0A93">
      <w:pPr>
        <w:pStyle w:val="Normal-unumbered"/>
        <w:ind w:hanging="11"/>
        <w:rPr>
          <w:highlight w:val="yellow"/>
          <w:lang w:val="en-GB"/>
        </w:rPr>
      </w:pPr>
    </w:p>
    <w:p w14:paraId="4B455AC1" w14:textId="77777777" w:rsidR="00CC1B73" w:rsidRPr="002734F6" w:rsidRDefault="00CC1B73" w:rsidP="002F0A93">
      <w:pPr>
        <w:pStyle w:val="Normal-unumbered"/>
        <w:ind w:hanging="11"/>
        <w:rPr>
          <w:highlight w:val="yellow"/>
          <w:lang w:val="en-GB"/>
        </w:rPr>
      </w:pPr>
    </w:p>
    <w:sectPr w:rsidR="00CC1B73" w:rsidRPr="002734F6" w:rsidSect="000A534A">
      <w:pgSz w:w="11906" w:h="16838"/>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69AC0" w14:textId="77777777" w:rsidR="00591E93" w:rsidRDefault="00591E93" w:rsidP="00F176B5">
      <w:r>
        <w:separator/>
      </w:r>
    </w:p>
  </w:endnote>
  <w:endnote w:type="continuationSeparator" w:id="0">
    <w:p w14:paraId="066F99BA" w14:textId="77777777" w:rsidR="00591E93" w:rsidRDefault="00591E93" w:rsidP="00F176B5">
      <w:r>
        <w:continuationSeparator/>
      </w:r>
    </w:p>
  </w:endnote>
  <w:endnote w:type="continuationNotice" w:id="1">
    <w:p w14:paraId="1915104F" w14:textId="77777777" w:rsidR="00591E93" w:rsidRDefault="00591E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E3823" w14:textId="77777777" w:rsidR="00591E93" w:rsidRDefault="00591E93" w:rsidP="00F176B5">
      <w:r>
        <w:separator/>
      </w:r>
    </w:p>
  </w:footnote>
  <w:footnote w:type="continuationSeparator" w:id="0">
    <w:p w14:paraId="10A2D16D" w14:textId="77777777" w:rsidR="00591E93" w:rsidRDefault="00591E93" w:rsidP="00F176B5">
      <w:r>
        <w:continuationSeparator/>
      </w:r>
    </w:p>
  </w:footnote>
  <w:footnote w:type="continuationNotice" w:id="1">
    <w:p w14:paraId="76AD8D3A" w14:textId="77777777" w:rsidR="00591E93" w:rsidRDefault="00591E9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6CBBF" w14:textId="205F3636" w:rsidR="007C70B3" w:rsidRPr="00EF10A2" w:rsidRDefault="00827D73" w:rsidP="00EF10A2">
    <w:pPr>
      <w:pStyle w:val="Header"/>
      <w:numPr>
        <w:ilvl w:val="0"/>
        <w:numId w:val="0"/>
      </w:numPr>
      <w:ind w:left="709"/>
      <w:jc w:val="center"/>
      <w:rPr>
        <w:lang w:val="en-GB"/>
      </w:rPr>
    </w:pPr>
    <w:r>
      <w:rPr>
        <w:lang w:val="en-GB"/>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6A93"/>
    <w:multiLevelType w:val="multilevel"/>
    <w:tmpl w:val="D4F08ED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F21AD"/>
    <w:multiLevelType w:val="hybridMultilevel"/>
    <w:tmpl w:val="4C6430A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A0811C8"/>
    <w:multiLevelType w:val="multilevel"/>
    <w:tmpl w:val="D9447D3E"/>
    <w:lvl w:ilvl="0">
      <w:start w:val="1"/>
      <w:numFmt w:val="decimal"/>
      <w:lvlText w:val="%1."/>
      <w:lvlJc w:val="left"/>
      <w:pPr>
        <w:ind w:left="360" w:hanging="360"/>
      </w:pPr>
      <w:rPr>
        <w:rFonts w:hint="default"/>
      </w:rPr>
    </w:lvl>
    <w:lvl w:ilvl="1">
      <w:start w:val="1"/>
      <w:numFmt w:val="decimal"/>
      <w:pStyle w:val="Nor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B502BA"/>
    <w:multiLevelType w:val="hybridMultilevel"/>
    <w:tmpl w:val="930480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0DB80684"/>
    <w:multiLevelType w:val="multilevel"/>
    <w:tmpl w:val="386008B0"/>
    <w:lvl w:ilvl="0">
      <w:start w:val="1"/>
      <w:numFmt w:val="decimal"/>
      <w:pStyle w:val="Heading1"/>
      <w:lvlText w:val="%1."/>
      <w:lvlJc w:val="left"/>
      <w:pPr>
        <w:ind w:left="144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2CE24DB"/>
    <w:multiLevelType w:val="hybridMultilevel"/>
    <w:tmpl w:val="493AA336"/>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6">
    <w:nsid w:val="1609166F"/>
    <w:multiLevelType w:val="hybridMultilevel"/>
    <w:tmpl w:val="AA96C5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3743E0"/>
    <w:multiLevelType w:val="hybridMultilevel"/>
    <w:tmpl w:val="9474BE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9FE6618"/>
    <w:multiLevelType w:val="multilevel"/>
    <w:tmpl w:val="CDA8493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F64EF0"/>
    <w:multiLevelType w:val="multilevel"/>
    <w:tmpl w:val="D64E0EE0"/>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B5558"/>
    <w:multiLevelType w:val="singleLevel"/>
    <w:tmpl w:val="C0E0D818"/>
    <w:lvl w:ilvl="0">
      <w:start w:val="1"/>
      <w:numFmt w:val="decimal"/>
      <w:pStyle w:val="CommitteeBody"/>
      <w:lvlText w:val="%1."/>
      <w:lvlJc w:val="left"/>
      <w:pPr>
        <w:tabs>
          <w:tab w:val="num" w:pos="567"/>
        </w:tabs>
        <w:ind w:left="567" w:hanging="567"/>
      </w:pPr>
    </w:lvl>
  </w:abstractNum>
  <w:abstractNum w:abstractNumId="11">
    <w:nsid w:val="1F360A8E"/>
    <w:multiLevelType w:val="hybridMultilevel"/>
    <w:tmpl w:val="5B40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D12150"/>
    <w:multiLevelType w:val="hybridMultilevel"/>
    <w:tmpl w:val="70C46B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4E30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3AA64F2"/>
    <w:multiLevelType w:val="hybridMultilevel"/>
    <w:tmpl w:val="0C8258AA"/>
    <w:lvl w:ilvl="0" w:tplc="FE1E665E">
      <w:start w:val="1"/>
      <w:numFmt w:val="decimal"/>
      <w:lvlText w:val="%1."/>
      <w:lvlJc w:val="left"/>
      <w:pPr>
        <w:ind w:left="2520" w:hanging="360"/>
      </w:pPr>
      <w:rPr>
        <w:rFonts w:hint="default"/>
        <w:vertAlign w:val="superscrip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2403317A"/>
    <w:multiLevelType w:val="hybridMultilevel"/>
    <w:tmpl w:val="9FEC9E7A"/>
    <w:lvl w:ilvl="0" w:tplc="08090001">
      <w:start w:val="1"/>
      <w:numFmt w:val="bullet"/>
      <w:lvlText w:val=""/>
      <w:lvlJc w:val="left"/>
      <w:pPr>
        <w:tabs>
          <w:tab w:val="num" w:pos="1445"/>
        </w:tabs>
        <w:ind w:left="1445" w:hanging="360"/>
      </w:pPr>
      <w:rPr>
        <w:rFonts w:ascii="Symbol" w:hAnsi="Symbol" w:hint="default"/>
      </w:rPr>
    </w:lvl>
    <w:lvl w:ilvl="1" w:tplc="08090003" w:tentative="1">
      <w:start w:val="1"/>
      <w:numFmt w:val="bullet"/>
      <w:lvlText w:val="o"/>
      <w:lvlJc w:val="left"/>
      <w:pPr>
        <w:tabs>
          <w:tab w:val="num" w:pos="2165"/>
        </w:tabs>
        <w:ind w:left="2165" w:hanging="360"/>
      </w:pPr>
      <w:rPr>
        <w:rFonts w:ascii="Courier New" w:hAnsi="Courier New" w:cs="Courier New" w:hint="default"/>
      </w:rPr>
    </w:lvl>
    <w:lvl w:ilvl="2" w:tplc="08090005" w:tentative="1">
      <w:start w:val="1"/>
      <w:numFmt w:val="bullet"/>
      <w:lvlText w:val=""/>
      <w:lvlJc w:val="left"/>
      <w:pPr>
        <w:tabs>
          <w:tab w:val="num" w:pos="2885"/>
        </w:tabs>
        <w:ind w:left="2885" w:hanging="360"/>
      </w:pPr>
      <w:rPr>
        <w:rFonts w:ascii="Wingdings" w:hAnsi="Wingdings" w:hint="default"/>
      </w:rPr>
    </w:lvl>
    <w:lvl w:ilvl="3" w:tplc="08090001" w:tentative="1">
      <w:start w:val="1"/>
      <w:numFmt w:val="bullet"/>
      <w:lvlText w:val=""/>
      <w:lvlJc w:val="left"/>
      <w:pPr>
        <w:tabs>
          <w:tab w:val="num" w:pos="3605"/>
        </w:tabs>
        <w:ind w:left="3605" w:hanging="360"/>
      </w:pPr>
      <w:rPr>
        <w:rFonts w:ascii="Symbol" w:hAnsi="Symbol" w:hint="default"/>
      </w:rPr>
    </w:lvl>
    <w:lvl w:ilvl="4" w:tplc="08090003" w:tentative="1">
      <w:start w:val="1"/>
      <w:numFmt w:val="bullet"/>
      <w:lvlText w:val="o"/>
      <w:lvlJc w:val="left"/>
      <w:pPr>
        <w:tabs>
          <w:tab w:val="num" w:pos="4325"/>
        </w:tabs>
        <w:ind w:left="4325" w:hanging="360"/>
      </w:pPr>
      <w:rPr>
        <w:rFonts w:ascii="Courier New" w:hAnsi="Courier New" w:cs="Courier New" w:hint="default"/>
      </w:rPr>
    </w:lvl>
    <w:lvl w:ilvl="5" w:tplc="08090005" w:tentative="1">
      <w:start w:val="1"/>
      <w:numFmt w:val="bullet"/>
      <w:lvlText w:val=""/>
      <w:lvlJc w:val="left"/>
      <w:pPr>
        <w:tabs>
          <w:tab w:val="num" w:pos="5045"/>
        </w:tabs>
        <w:ind w:left="5045" w:hanging="360"/>
      </w:pPr>
      <w:rPr>
        <w:rFonts w:ascii="Wingdings" w:hAnsi="Wingdings" w:hint="default"/>
      </w:rPr>
    </w:lvl>
    <w:lvl w:ilvl="6" w:tplc="08090001" w:tentative="1">
      <w:start w:val="1"/>
      <w:numFmt w:val="bullet"/>
      <w:lvlText w:val=""/>
      <w:lvlJc w:val="left"/>
      <w:pPr>
        <w:tabs>
          <w:tab w:val="num" w:pos="5765"/>
        </w:tabs>
        <w:ind w:left="5765" w:hanging="360"/>
      </w:pPr>
      <w:rPr>
        <w:rFonts w:ascii="Symbol" w:hAnsi="Symbol" w:hint="default"/>
      </w:rPr>
    </w:lvl>
    <w:lvl w:ilvl="7" w:tplc="08090003" w:tentative="1">
      <w:start w:val="1"/>
      <w:numFmt w:val="bullet"/>
      <w:lvlText w:val="o"/>
      <w:lvlJc w:val="left"/>
      <w:pPr>
        <w:tabs>
          <w:tab w:val="num" w:pos="6485"/>
        </w:tabs>
        <w:ind w:left="6485" w:hanging="360"/>
      </w:pPr>
      <w:rPr>
        <w:rFonts w:ascii="Courier New" w:hAnsi="Courier New" w:cs="Courier New" w:hint="default"/>
      </w:rPr>
    </w:lvl>
    <w:lvl w:ilvl="8" w:tplc="08090005" w:tentative="1">
      <w:start w:val="1"/>
      <w:numFmt w:val="bullet"/>
      <w:lvlText w:val=""/>
      <w:lvlJc w:val="left"/>
      <w:pPr>
        <w:tabs>
          <w:tab w:val="num" w:pos="7205"/>
        </w:tabs>
        <w:ind w:left="7205" w:hanging="360"/>
      </w:pPr>
      <w:rPr>
        <w:rFonts w:ascii="Wingdings" w:hAnsi="Wingdings" w:hint="default"/>
      </w:rPr>
    </w:lvl>
  </w:abstractNum>
  <w:abstractNum w:abstractNumId="16">
    <w:nsid w:val="25EB6BD6"/>
    <w:multiLevelType w:val="multilevel"/>
    <w:tmpl w:val="9A82DC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9A857AC"/>
    <w:multiLevelType w:val="multilevel"/>
    <w:tmpl w:val="5C5839D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843D76"/>
    <w:multiLevelType w:val="hybridMultilevel"/>
    <w:tmpl w:val="38A6A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FC26CF4"/>
    <w:multiLevelType w:val="multilevel"/>
    <w:tmpl w:val="172673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C647670"/>
    <w:multiLevelType w:val="hybridMultilevel"/>
    <w:tmpl w:val="A600D648"/>
    <w:lvl w:ilvl="0" w:tplc="FAFA10A4">
      <w:numFmt w:val="bullet"/>
      <w:lvlText w:val="-"/>
      <w:lvlJc w:val="left"/>
      <w:pPr>
        <w:ind w:left="1069" w:hanging="360"/>
      </w:pPr>
      <w:rPr>
        <w:rFonts w:ascii="Calibri" w:eastAsia="Calibri" w:hAnsi="Calibri"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nsid w:val="40437D41"/>
    <w:multiLevelType w:val="hybridMultilevel"/>
    <w:tmpl w:val="E0A22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C033B4"/>
    <w:multiLevelType w:val="multilevel"/>
    <w:tmpl w:val="8D08E83C"/>
    <w:lvl w:ilvl="0">
      <w:start w:val="14"/>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2B9774B"/>
    <w:multiLevelType w:val="hybridMultilevel"/>
    <w:tmpl w:val="932C676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CC5185"/>
    <w:multiLevelType w:val="hybridMultilevel"/>
    <w:tmpl w:val="39FCD692"/>
    <w:lvl w:ilvl="0" w:tplc="33A808DE">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E206F1"/>
    <w:multiLevelType w:val="hybridMultilevel"/>
    <w:tmpl w:val="4B92880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nsid w:val="55403719"/>
    <w:multiLevelType w:val="hybridMultilevel"/>
    <w:tmpl w:val="FD1486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82263D1"/>
    <w:multiLevelType w:val="hybridMultilevel"/>
    <w:tmpl w:val="F822D0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nsid w:val="5988069A"/>
    <w:multiLevelType w:val="hybridMultilevel"/>
    <w:tmpl w:val="C8D4E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4A0A06"/>
    <w:multiLevelType w:val="multilevel"/>
    <w:tmpl w:val="6114CF16"/>
    <w:lvl w:ilvl="0">
      <w:start w:val="1"/>
      <w:numFmt w:val="decimal"/>
      <w:lvlText w:val="%1."/>
      <w:lvlJc w:val="left"/>
      <w:pPr>
        <w:ind w:left="360" w:hanging="360"/>
      </w:pPr>
      <w:rPr>
        <w:rFonts w:hint="default"/>
      </w:rPr>
    </w:lvl>
    <w:lvl w:ilvl="1">
      <w:start w:val="1"/>
      <w:numFmt w:val="bullet"/>
      <w:lvlText w:val=""/>
      <w:lvlJc w:val="left"/>
      <w:pPr>
        <w:ind w:left="1709"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9DB50F4"/>
    <w:multiLevelType w:val="hybridMultilevel"/>
    <w:tmpl w:val="ED4880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6C15303F"/>
    <w:multiLevelType w:val="multilevel"/>
    <w:tmpl w:val="1238667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CC21730"/>
    <w:multiLevelType w:val="multilevel"/>
    <w:tmpl w:val="759A018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730B6B"/>
    <w:multiLevelType w:val="multilevel"/>
    <w:tmpl w:val="7C7CFE5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E8E18AF"/>
    <w:multiLevelType w:val="multilevel"/>
    <w:tmpl w:val="3A505E1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2BD0606"/>
    <w:multiLevelType w:val="hybridMultilevel"/>
    <w:tmpl w:val="0F40668A"/>
    <w:lvl w:ilvl="0" w:tplc="91EA435A">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nsid w:val="747466A8"/>
    <w:multiLevelType w:val="multilevel"/>
    <w:tmpl w:val="3118F1F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68F1D00"/>
    <w:multiLevelType w:val="multilevel"/>
    <w:tmpl w:val="28E897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7BDA1C48"/>
    <w:multiLevelType w:val="multilevel"/>
    <w:tmpl w:val="3370D14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1"/>
  </w:num>
  <w:num w:numId="4">
    <w:abstractNumId w:val="10"/>
  </w:num>
  <w:num w:numId="5">
    <w:abstractNumId w:val="26"/>
  </w:num>
  <w:num w:numId="6">
    <w:abstractNumId w:val="15"/>
  </w:num>
  <w:num w:numId="7">
    <w:abstractNumId w:val="24"/>
  </w:num>
  <w:num w:numId="8">
    <w:abstractNumId w:val="11"/>
  </w:num>
  <w:num w:numId="9">
    <w:abstractNumId w:val="20"/>
  </w:num>
  <w:num w:numId="10">
    <w:abstractNumId w:val="3"/>
  </w:num>
  <w:num w:numId="11">
    <w:abstractNumId w:val="29"/>
  </w:num>
  <w:num w:numId="12">
    <w:abstractNumId w:val="24"/>
  </w:num>
  <w:num w:numId="13">
    <w:abstractNumId w:val="4"/>
  </w:num>
  <w:num w:numId="14">
    <w:abstractNumId w:val="35"/>
  </w:num>
  <w:num w:numId="15">
    <w:abstractNumId w:val="7"/>
  </w:num>
  <w:num w:numId="16">
    <w:abstractNumId w:val="14"/>
  </w:num>
  <w:num w:numId="17">
    <w:abstractNumId w:val="37"/>
  </w:num>
  <w:num w:numId="18">
    <w:abstractNumId w:val="27"/>
  </w:num>
  <w:num w:numId="19">
    <w:abstractNumId w:val="9"/>
  </w:num>
  <w:num w:numId="20">
    <w:abstractNumId w:val="34"/>
  </w:num>
  <w:num w:numId="21">
    <w:abstractNumId w:val="36"/>
  </w:num>
  <w:num w:numId="22">
    <w:abstractNumId w:val="5"/>
  </w:num>
  <w:num w:numId="23">
    <w:abstractNumId w:val="6"/>
  </w:num>
  <w:num w:numId="24">
    <w:abstractNumId w:val="19"/>
  </w:num>
  <w:num w:numId="25">
    <w:abstractNumId w:val="18"/>
  </w:num>
  <w:num w:numId="26">
    <w:abstractNumId w:val="24"/>
  </w:num>
  <w:num w:numId="27">
    <w:abstractNumId w:val="24"/>
  </w:num>
  <w:num w:numId="28">
    <w:abstractNumId w:val="24"/>
  </w:num>
  <w:num w:numId="29">
    <w:abstractNumId w:val="1"/>
  </w:num>
  <w:num w:numId="30">
    <w:abstractNumId w:val="25"/>
  </w:num>
  <w:num w:numId="31">
    <w:abstractNumId w:val="2"/>
  </w:num>
  <w:num w:numId="32">
    <w:abstractNumId w:val="21"/>
  </w:num>
  <w:num w:numId="33">
    <w:abstractNumId w:val="22"/>
  </w:num>
  <w:num w:numId="34">
    <w:abstractNumId w:val="4"/>
  </w:num>
  <w:num w:numId="35">
    <w:abstractNumId w:val="13"/>
  </w:num>
  <w:num w:numId="36">
    <w:abstractNumId w:val="12"/>
  </w:num>
  <w:num w:numId="37">
    <w:abstractNumId w:val="8"/>
  </w:num>
  <w:num w:numId="38">
    <w:abstractNumId w:val="32"/>
  </w:num>
  <w:num w:numId="39">
    <w:abstractNumId w:val="30"/>
  </w:num>
  <w:num w:numId="40">
    <w:abstractNumId w:val="17"/>
  </w:num>
  <w:num w:numId="41">
    <w:abstractNumId w:val="33"/>
  </w:num>
  <w:num w:numId="42">
    <w:abstractNumId w:val="38"/>
  </w:num>
  <w:num w:numId="43">
    <w:abstractNumId w:val="16"/>
  </w:num>
  <w:num w:numId="44">
    <w:abstractNumId w:val="28"/>
  </w:num>
  <w:num w:numId="45">
    <w:abstractNumId w:val="0"/>
  </w:num>
  <w:num w:numId="4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53"/>
    <w:rsid w:val="00004923"/>
    <w:rsid w:val="00005A67"/>
    <w:rsid w:val="00005AD0"/>
    <w:rsid w:val="00006886"/>
    <w:rsid w:val="00010ADE"/>
    <w:rsid w:val="00011A3F"/>
    <w:rsid w:val="00011B97"/>
    <w:rsid w:val="00014864"/>
    <w:rsid w:val="00017271"/>
    <w:rsid w:val="0001796A"/>
    <w:rsid w:val="000213FE"/>
    <w:rsid w:val="00023366"/>
    <w:rsid w:val="000240F8"/>
    <w:rsid w:val="000251A1"/>
    <w:rsid w:val="00030724"/>
    <w:rsid w:val="0003096D"/>
    <w:rsid w:val="00034B08"/>
    <w:rsid w:val="0003503F"/>
    <w:rsid w:val="00036213"/>
    <w:rsid w:val="00040AFD"/>
    <w:rsid w:val="000410E7"/>
    <w:rsid w:val="00041AD6"/>
    <w:rsid w:val="00047074"/>
    <w:rsid w:val="00047C1A"/>
    <w:rsid w:val="00047F51"/>
    <w:rsid w:val="00047F79"/>
    <w:rsid w:val="0005074C"/>
    <w:rsid w:val="00050CD3"/>
    <w:rsid w:val="00052289"/>
    <w:rsid w:val="00054FBC"/>
    <w:rsid w:val="00054FD2"/>
    <w:rsid w:val="000572A2"/>
    <w:rsid w:val="00057927"/>
    <w:rsid w:val="00062A6A"/>
    <w:rsid w:val="000641A0"/>
    <w:rsid w:val="000646CB"/>
    <w:rsid w:val="00064A17"/>
    <w:rsid w:val="00065702"/>
    <w:rsid w:val="0006743F"/>
    <w:rsid w:val="00071D88"/>
    <w:rsid w:val="00073AB4"/>
    <w:rsid w:val="00074781"/>
    <w:rsid w:val="000760E8"/>
    <w:rsid w:val="000767E3"/>
    <w:rsid w:val="000775E9"/>
    <w:rsid w:val="00082539"/>
    <w:rsid w:val="00082A80"/>
    <w:rsid w:val="00092C6F"/>
    <w:rsid w:val="000975A5"/>
    <w:rsid w:val="000A09B0"/>
    <w:rsid w:val="000A0A34"/>
    <w:rsid w:val="000A0ED0"/>
    <w:rsid w:val="000A39D4"/>
    <w:rsid w:val="000A534A"/>
    <w:rsid w:val="000A5AEE"/>
    <w:rsid w:val="000A5E52"/>
    <w:rsid w:val="000B06D8"/>
    <w:rsid w:val="000B34EE"/>
    <w:rsid w:val="000B5E86"/>
    <w:rsid w:val="000B61CF"/>
    <w:rsid w:val="000B6D98"/>
    <w:rsid w:val="000B7C3D"/>
    <w:rsid w:val="000C1F75"/>
    <w:rsid w:val="000C22A9"/>
    <w:rsid w:val="000D6BF8"/>
    <w:rsid w:val="000D7B80"/>
    <w:rsid w:val="000E0E88"/>
    <w:rsid w:val="000E1974"/>
    <w:rsid w:val="000E2423"/>
    <w:rsid w:val="000E3071"/>
    <w:rsid w:val="000E51CE"/>
    <w:rsid w:val="000E66D7"/>
    <w:rsid w:val="000F15E8"/>
    <w:rsid w:val="000F3002"/>
    <w:rsid w:val="000F3259"/>
    <w:rsid w:val="000F364E"/>
    <w:rsid w:val="000F502C"/>
    <w:rsid w:val="000F539C"/>
    <w:rsid w:val="001000F2"/>
    <w:rsid w:val="00100218"/>
    <w:rsid w:val="00100C75"/>
    <w:rsid w:val="00101BB1"/>
    <w:rsid w:val="00103635"/>
    <w:rsid w:val="00104E76"/>
    <w:rsid w:val="00105147"/>
    <w:rsid w:val="00105E63"/>
    <w:rsid w:val="0011232A"/>
    <w:rsid w:val="00113B70"/>
    <w:rsid w:val="00114856"/>
    <w:rsid w:val="00115716"/>
    <w:rsid w:val="00115776"/>
    <w:rsid w:val="00116AE5"/>
    <w:rsid w:val="00116FDB"/>
    <w:rsid w:val="0011783D"/>
    <w:rsid w:val="001201D6"/>
    <w:rsid w:val="00121015"/>
    <w:rsid w:val="00121093"/>
    <w:rsid w:val="00121E31"/>
    <w:rsid w:val="00122F10"/>
    <w:rsid w:val="001238BA"/>
    <w:rsid w:val="001240B0"/>
    <w:rsid w:val="00124D79"/>
    <w:rsid w:val="00125C09"/>
    <w:rsid w:val="00130819"/>
    <w:rsid w:val="00130B13"/>
    <w:rsid w:val="00132824"/>
    <w:rsid w:val="00132E2B"/>
    <w:rsid w:val="001348DA"/>
    <w:rsid w:val="001350CA"/>
    <w:rsid w:val="001352B5"/>
    <w:rsid w:val="001357E2"/>
    <w:rsid w:val="00137920"/>
    <w:rsid w:val="00141102"/>
    <w:rsid w:val="0014235E"/>
    <w:rsid w:val="001426A2"/>
    <w:rsid w:val="00143A3B"/>
    <w:rsid w:val="001445A1"/>
    <w:rsid w:val="00145BE8"/>
    <w:rsid w:val="00146594"/>
    <w:rsid w:val="001468AB"/>
    <w:rsid w:val="00147E1C"/>
    <w:rsid w:val="00150D23"/>
    <w:rsid w:val="0015130C"/>
    <w:rsid w:val="00153068"/>
    <w:rsid w:val="00153BF3"/>
    <w:rsid w:val="00155463"/>
    <w:rsid w:val="00155538"/>
    <w:rsid w:val="001555D7"/>
    <w:rsid w:val="00155F55"/>
    <w:rsid w:val="001605A1"/>
    <w:rsid w:val="00160897"/>
    <w:rsid w:val="00162D74"/>
    <w:rsid w:val="00164547"/>
    <w:rsid w:val="00165FC5"/>
    <w:rsid w:val="00172955"/>
    <w:rsid w:val="001737C2"/>
    <w:rsid w:val="0017400F"/>
    <w:rsid w:val="001741E5"/>
    <w:rsid w:val="00175641"/>
    <w:rsid w:val="0018145D"/>
    <w:rsid w:val="001829E7"/>
    <w:rsid w:val="00182BDC"/>
    <w:rsid w:val="0018465E"/>
    <w:rsid w:val="001855BF"/>
    <w:rsid w:val="001855FB"/>
    <w:rsid w:val="00187A88"/>
    <w:rsid w:val="00190593"/>
    <w:rsid w:val="001905DC"/>
    <w:rsid w:val="001912B3"/>
    <w:rsid w:val="001921DE"/>
    <w:rsid w:val="00193C36"/>
    <w:rsid w:val="00193CF2"/>
    <w:rsid w:val="00194609"/>
    <w:rsid w:val="00195DDD"/>
    <w:rsid w:val="00197793"/>
    <w:rsid w:val="00197A4B"/>
    <w:rsid w:val="001A5E1C"/>
    <w:rsid w:val="001A5F39"/>
    <w:rsid w:val="001A6E74"/>
    <w:rsid w:val="001B1127"/>
    <w:rsid w:val="001B3942"/>
    <w:rsid w:val="001B59EE"/>
    <w:rsid w:val="001B7C0D"/>
    <w:rsid w:val="001C08C7"/>
    <w:rsid w:val="001C4BE6"/>
    <w:rsid w:val="001C536D"/>
    <w:rsid w:val="001C5EA8"/>
    <w:rsid w:val="001D0436"/>
    <w:rsid w:val="001D24E4"/>
    <w:rsid w:val="001D32F4"/>
    <w:rsid w:val="001D445C"/>
    <w:rsid w:val="001D4D05"/>
    <w:rsid w:val="001D63BF"/>
    <w:rsid w:val="001E23C8"/>
    <w:rsid w:val="001F6556"/>
    <w:rsid w:val="001F794F"/>
    <w:rsid w:val="00200962"/>
    <w:rsid w:val="00200EF0"/>
    <w:rsid w:val="00201DEF"/>
    <w:rsid w:val="0020330A"/>
    <w:rsid w:val="00203BF1"/>
    <w:rsid w:val="00204832"/>
    <w:rsid w:val="002052BB"/>
    <w:rsid w:val="0020795E"/>
    <w:rsid w:val="00207D3A"/>
    <w:rsid w:val="00210247"/>
    <w:rsid w:val="00213340"/>
    <w:rsid w:val="00220B10"/>
    <w:rsid w:val="00224A5B"/>
    <w:rsid w:val="002259FE"/>
    <w:rsid w:val="00226641"/>
    <w:rsid w:val="00226E08"/>
    <w:rsid w:val="00227862"/>
    <w:rsid w:val="002279D1"/>
    <w:rsid w:val="00230FE1"/>
    <w:rsid w:val="00232366"/>
    <w:rsid w:val="0023429B"/>
    <w:rsid w:val="00234C11"/>
    <w:rsid w:val="00240575"/>
    <w:rsid w:val="002453A6"/>
    <w:rsid w:val="00246071"/>
    <w:rsid w:val="00246648"/>
    <w:rsid w:val="00246717"/>
    <w:rsid w:val="0025005D"/>
    <w:rsid w:val="00251C30"/>
    <w:rsid w:val="002547BF"/>
    <w:rsid w:val="00255A74"/>
    <w:rsid w:val="0025674F"/>
    <w:rsid w:val="0025698C"/>
    <w:rsid w:val="00257EC0"/>
    <w:rsid w:val="00262D25"/>
    <w:rsid w:val="0026357C"/>
    <w:rsid w:val="002645B0"/>
    <w:rsid w:val="002662D8"/>
    <w:rsid w:val="00266383"/>
    <w:rsid w:val="002675FB"/>
    <w:rsid w:val="00272502"/>
    <w:rsid w:val="0027250A"/>
    <w:rsid w:val="0027266E"/>
    <w:rsid w:val="002731BA"/>
    <w:rsid w:val="002734F6"/>
    <w:rsid w:val="00274475"/>
    <w:rsid w:val="00275236"/>
    <w:rsid w:val="00275F05"/>
    <w:rsid w:val="00276953"/>
    <w:rsid w:val="002777C2"/>
    <w:rsid w:val="00280346"/>
    <w:rsid w:val="002816BA"/>
    <w:rsid w:val="002817E8"/>
    <w:rsid w:val="0028186E"/>
    <w:rsid w:val="00283BF5"/>
    <w:rsid w:val="00283DF8"/>
    <w:rsid w:val="00285013"/>
    <w:rsid w:val="002900FA"/>
    <w:rsid w:val="00293628"/>
    <w:rsid w:val="00294C1A"/>
    <w:rsid w:val="002960A3"/>
    <w:rsid w:val="002961A4"/>
    <w:rsid w:val="00296511"/>
    <w:rsid w:val="002973B7"/>
    <w:rsid w:val="002A36A5"/>
    <w:rsid w:val="002A3A97"/>
    <w:rsid w:val="002A571C"/>
    <w:rsid w:val="002A590A"/>
    <w:rsid w:val="002A7E71"/>
    <w:rsid w:val="002B006A"/>
    <w:rsid w:val="002B0C95"/>
    <w:rsid w:val="002B153D"/>
    <w:rsid w:val="002B34E8"/>
    <w:rsid w:val="002B4C20"/>
    <w:rsid w:val="002B66E0"/>
    <w:rsid w:val="002B7C5F"/>
    <w:rsid w:val="002C0653"/>
    <w:rsid w:val="002C0EF4"/>
    <w:rsid w:val="002C1914"/>
    <w:rsid w:val="002C2058"/>
    <w:rsid w:val="002C2CCE"/>
    <w:rsid w:val="002C460D"/>
    <w:rsid w:val="002C5AE9"/>
    <w:rsid w:val="002C5DC2"/>
    <w:rsid w:val="002C76AB"/>
    <w:rsid w:val="002D162E"/>
    <w:rsid w:val="002D24E2"/>
    <w:rsid w:val="002D287B"/>
    <w:rsid w:val="002D35F1"/>
    <w:rsid w:val="002D39D4"/>
    <w:rsid w:val="002D487D"/>
    <w:rsid w:val="002D4CB9"/>
    <w:rsid w:val="002D64F8"/>
    <w:rsid w:val="002D6F5E"/>
    <w:rsid w:val="002E15EE"/>
    <w:rsid w:val="002E2B78"/>
    <w:rsid w:val="002E4168"/>
    <w:rsid w:val="002E419C"/>
    <w:rsid w:val="002E49D5"/>
    <w:rsid w:val="002E49DA"/>
    <w:rsid w:val="002F0A93"/>
    <w:rsid w:val="002F3D91"/>
    <w:rsid w:val="002F5618"/>
    <w:rsid w:val="002F60F9"/>
    <w:rsid w:val="003014AD"/>
    <w:rsid w:val="00302827"/>
    <w:rsid w:val="003035B4"/>
    <w:rsid w:val="00304130"/>
    <w:rsid w:val="0030537E"/>
    <w:rsid w:val="00305959"/>
    <w:rsid w:val="00306500"/>
    <w:rsid w:val="0030797D"/>
    <w:rsid w:val="003113FC"/>
    <w:rsid w:val="00312BCE"/>
    <w:rsid w:val="003146DE"/>
    <w:rsid w:val="00314D52"/>
    <w:rsid w:val="00315511"/>
    <w:rsid w:val="00320C5E"/>
    <w:rsid w:val="00322F99"/>
    <w:rsid w:val="0032527B"/>
    <w:rsid w:val="00326DC9"/>
    <w:rsid w:val="00327CB1"/>
    <w:rsid w:val="003312BD"/>
    <w:rsid w:val="00332786"/>
    <w:rsid w:val="003327D4"/>
    <w:rsid w:val="00332EB2"/>
    <w:rsid w:val="0033340C"/>
    <w:rsid w:val="00333826"/>
    <w:rsid w:val="003341E7"/>
    <w:rsid w:val="003346B4"/>
    <w:rsid w:val="003346CE"/>
    <w:rsid w:val="003377A3"/>
    <w:rsid w:val="003400D3"/>
    <w:rsid w:val="00343A52"/>
    <w:rsid w:val="00345F3D"/>
    <w:rsid w:val="0035239A"/>
    <w:rsid w:val="00355015"/>
    <w:rsid w:val="00355316"/>
    <w:rsid w:val="00356CE1"/>
    <w:rsid w:val="003620D6"/>
    <w:rsid w:val="00364827"/>
    <w:rsid w:val="003654CF"/>
    <w:rsid w:val="00365918"/>
    <w:rsid w:val="0036659B"/>
    <w:rsid w:val="003673DD"/>
    <w:rsid w:val="00371AEB"/>
    <w:rsid w:val="00372395"/>
    <w:rsid w:val="00373DDF"/>
    <w:rsid w:val="00374826"/>
    <w:rsid w:val="0037674E"/>
    <w:rsid w:val="00376F6F"/>
    <w:rsid w:val="00377C54"/>
    <w:rsid w:val="003806A7"/>
    <w:rsid w:val="00381041"/>
    <w:rsid w:val="00382433"/>
    <w:rsid w:val="003842FB"/>
    <w:rsid w:val="00384A20"/>
    <w:rsid w:val="003856F2"/>
    <w:rsid w:val="00390123"/>
    <w:rsid w:val="00390158"/>
    <w:rsid w:val="00390590"/>
    <w:rsid w:val="0039122A"/>
    <w:rsid w:val="00392188"/>
    <w:rsid w:val="00392949"/>
    <w:rsid w:val="00394971"/>
    <w:rsid w:val="003950E2"/>
    <w:rsid w:val="00395C0F"/>
    <w:rsid w:val="00395FC3"/>
    <w:rsid w:val="00396163"/>
    <w:rsid w:val="003964DC"/>
    <w:rsid w:val="00396886"/>
    <w:rsid w:val="00397B62"/>
    <w:rsid w:val="00397F5F"/>
    <w:rsid w:val="003A032E"/>
    <w:rsid w:val="003A1927"/>
    <w:rsid w:val="003A347B"/>
    <w:rsid w:val="003A4AA5"/>
    <w:rsid w:val="003A58EA"/>
    <w:rsid w:val="003A7384"/>
    <w:rsid w:val="003A7576"/>
    <w:rsid w:val="003A75D1"/>
    <w:rsid w:val="003A7859"/>
    <w:rsid w:val="003B1761"/>
    <w:rsid w:val="003B6278"/>
    <w:rsid w:val="003B78F6"/>
    <w:rsid w:val="003C0793"/>
    <w:rsid w:val="003C315F"/>
    <w:rsid w:val="003C32BE"/>
    <w:rsid w:val="003C3500"/>
    <w:rsid w:val="003C3D05"/>
    <w:rsid w:val="003C3FFD"/>
    <w:rsid w:val="003C511E"/>
    <w:rsid w:val="003C6263"/>
    <w:rsid w:val="003C68F5"/>
    <w:rsid w:val="003D078E"/>
    <w:rsid w:val="003D1EF2"/>
    <w:rsid w:val="003D20CF"/>
    <w:rsid w:val="003D23D2"/>
    <w:rsid w:val="003D322D"/>
    <w:rsid w:val="003D3BA0"/>
    <w:rsid w:val="003D4C39"/>
    <w:rsid w:val="003D52DD"/>
    <w:rsid w:val="003D72A0"/>
    <w:rsid w:val="003D7AFF"/>
    <w:rsid w:val="003E33AF"/>
    <w:rsid w:val="003E3D46"/>
    <w:rsid w:val="003E59A3"/>
    <w:rsid w:val="003F17EC"/>
    <w:rsid w:val="003F1CEB"/>
    <w:rsid w:val="003F2472"/>
    <w:rsid w:val="003F3596"/>
    <w:rsid w:val="003F6096"/>
    <w:rsid w:val="003F6963"/>
    <w:rsid w:val="004034BF"/>
    <w:rsid w:val="00403CDD"/>
    <w:rsid w:val="00404872"/>
    <w:rsid w:val="00404A19"/>
    <w:rsid w:val="0040550C"/>
    <w:rsid w:val="00414204"/>
    <w:rsid w:val="004150FB"/>
    <w:rsid w:val="00415A60"/>
    <w:rsid w:val="00423683"/>
    <w:rsid w:val="004238DA"/>
    <w:rsid w:val="004241EF"/>
    <w:rsid w:val="00427A15"/>
    <w:rsid w:val="00427E02"/>
    <w:rsid w:val="0043025A"/>
    <w:rsid w:val="004305E7"/>
    <w:rsid w:val="004308B8"/>
    <w:rsid w:val="00434A6D"/>
    <w:rsid w:val="00435084"/>
    <w:rsid w:val="00436591"/>
    <w:rsid w:val="004431C3"/>
    <w:rsid w:val="00445C3E"/>
    <w:rsid w:val="0044617F"/>
    <w:rsid w:val="00446817"/>
    <w:rsid w:val="00446E7C"/>
    <w:rsid w:val="00447E5B"/>
    <w:rsid w:val="00450275"/>
    <w:rsid w:val="004507A9"/>
    <w:rsid w:val="004522DC"/>
    <w:rsid w:val="004529C6"/>
    <w:rsid w:val="00453281"/>
    <w:rsid w:val="0045518E"/>
    <w:rsid w:val="00455849"/>
    <w:rsid w:val="00456BC2"/>
    <w:rsid w:val="0046146C"/>
    <w:rsid w:val="00462D5F"/>
    <w:rsid w:val="00462DDD"/>
    <w:rsid w:val="00462ED5"/>
    <w:rsid w:val="00463B89"/>
    <w:rsid w:val="004668BB"/>
    <w:rsid w:val="00467017"/>
    <w:rsid w:val="00467838"/>
    <w:rsid w:val="004713A9"/>
    <w:rsid w:val="0047442A"/>
    <w:rsid w:val="00475FD4"/>
    <w:rsid w:val="0048106D"/>
    <w:rsid w:val="00485897"/>
    <w:rsid w:val="00490226"/>
    <w:rsid w:val="0049053E"/>
    <w:rsid w:val="00491D35"/>
    <w:rsid w:val="00492024"/>
    <w:rsid w:val="0049259F"/>
    <w:rsid w:val="00492E26"/>
    <w:rsid w:val="004931D9"/>
    <w:rsid w:val="00493740"/>
    <w:rsid w:val="0049505F"/>
    <w:rsid w:val="00496C3E"/>
    <w:rsid w:val="00496C7A"/>
    <w:rsid w:val="00496DBB"/>
    <w:rsid w:val="004A0895"/>
    <w:rsid w:val="004A28A0"/>
    <w:rsid w:val="004A2BC5"/>
    <w:rsid w:val="004A2FEA"/>
    <w:rsid w:val="004A710C"/>
    <w:rsid w:val="004A7932"/>
    <w:rsid w:val="004A7BA3"/>
    <w:rsid w:val="004B0781"/>
    <w:rsid w:val="004B1C8A"/>
    <w:rsid w:val="004B2588"/>
    <w:rsid w:val="004B3180"/>
    <w:rsid w:val="004B31E7"/>
    <w:rsid w:val="004B3C91"/>
    <w:rsid w:val="004B6701"/>
    <w:rsid w:val="004B6839"/>
    <w:rsid w:val="004B6CA3"/>
    <w:rsid w:val="004B7904"/>
    <w:rsid w:val="004C019C"/>
    <w:rsid w:val="004C176C"/>
    <w:rsid w:val="004C1C45"/>
    <w:rsid w:val="004C2103"/>
    <w:rsid w:val="004C2A28"/>
    <w:rsid w:val="004C40CA"/>
    <w:rsid w:val="004D011B"/>
    <w:rsid w:val="004D45A1"/>
    <w:rsid w:val="004D6E27"/>
    <w:rsid w:val="004E3971"/>
    <w:rsid w:val="004E3D5D"/>
    <w:rsid w:val="004E4934"/>
    <w:rsid w:val="004E4EAE"/>
    <w:rsid w:val="004E5692"/>
    <w:rsid w:val="004E60F1"/>
    <w:rsid w:val="004E6B95"/>
    <w:rsid w:val="004E6DD5"/>
    <w:rsid w:val="004E6E44"/>
    <w:rsid w:val="004E7921"/>
    <w:rsid w:val="004E7FE0"/>
    <w:rsid w:val="004F20C2"/>
    <w:rsid w:val="004F4027"/>
    <w:rsid w:val="004F432F"/>
    <w:rsid w:val="004F4C1D"/>
    <w:rsid w:val="004F5BAC"/>
    <w:rsid w:val="004F5C74"/>
    <w:rsid w:val="004F7D3D"/>
    <w:rsid w:val="00500216"/>
    <w:rsid w:val="00500F14"/>
    <w:rsid w:val="0050192B"/>
    <w:rsid w:val="00502979"/>
    <w:rsid w:val="005029AE"/>
    <w:rsid w:val="00502D03"/>
    <w:rsid w:val="00502FFE"/>
    <w:rsid w:val="0050609E"/>
    <w:rsid w:val="0050796F"/>
    <w:rsid w:val="005103BD"/>
    <w:rsid w:val="0051071C"/>
    <w:rsid w:val="00510F1C"/>
    <w:rsid w:val="005129BF"/>
    <w:rsid w:val="00513161"/>
    <w:rsid w:val="005137E0"/>
    <w:rsid w:val="00514101"/>
    <w:rsid w:val="005144E9"/>
    <w:rsid w:val="005157A6"/>
    <w:rsid w:val="005158F7"/>
    <w:rsid w:val="005170E1"/>
    <w:rsid w:val="00521353"/>
    <w:rsid w:val="00525DA0"/>
    <w:rsid w:val="00526C59"/>
    <w:rsid w:val="00530EA5"/>
    <w:rsid w:val="00531D39"/>
    <w:rsid w:val="005327F3"/>
    <w:rsid w:val="00532B46"/>
    <w:rsid w:val="005349C4"/>
    <w:rsid w:val="00534C5E"/>
    <w:rsid w:val="005351EA"/>
    <w:rsid w:val="00536FC0"/>
    <w:rsid w:val="00537120"/>
    <w:rsid w:val="005408D6"/>
    <w:rsid w:val="005409B1"/>
    <w:rsid w:val="00541D61"/>
    <w:rsid w:val="00543A42"/>
    <w:rsid w:val="0054401A"/>
    <w:rsid w:val="00545DC7"/>
    <w:rsid w:val="00547615"/>
    <w:rsid w:val="0054770F"/>
    <w:rsid w:val="0054790B"/>
    <w:rsid w:val="00552F84"/>
    <w:rsid w:val="005533A0"/>
    <w:rsid w:val="00553D91"/>
    <w:rsid w:val="005548D0"/>
    <w:rsid w:val="00555D5F"/>
    <w:rsid w:val="0055716D"/>
    <w:rsid w:val="00557E8D"/>
    <w:rsid w:val="00560CE6"/>
    <w:rsid w:val="00562733"/>
    <w:rsid w:val="00563931"/>
    <w:rsid w:val="00564E5A"/>
    <w:rsid w:val="005651C5"/>
    <w:rsid w:val="005674DE"/>
    <w:rsid w:val="0056762E"/>
    <w:rsid w:val="00572644"/>
    <w:rsid w:val="0057288D"/>
    <w:rsid w:val="00573A3B"/>
    <w:rsid w:val="005742B8"/>
    <w:rsid w:val="00576F7E"/>
    <w:rsid w:val="00580A28"/>
    <w:rsid w:val="0058124A"/>
    <w:rsid w:val="00584667"/>
    <w:rsid w:val="005856ED"/>
    <w:rsid w:val="0058580C"/>
    <w:rsid w:val="00587B19"/>
    <w:rsid w:val="0059073C"/>
    <w:rsid w:val="00591E93"/>
    <w:rsid w:val="005925C2"/>
    <w:rsid w:val="00592B93"/>
    <w:rsid w:val="005939A0"/>
    <w:rsid w:val="00596E44"/>
    <w:rsid w:val="00597983"/>
    <w:rsid w:val="005979E8"/>
    <w:rsid w:val="005A1B1E"/>
    <w:rsid w:val="005A2FBB"/>
    <w:rsid w:val="005A493B"/>
    <w:rsid w:val="005A7552"/>
    <w:rsid w:val="005B1A81"/>
    <w:rsid w:val="005B21EA"/>
    <w:rsid w:val="005B319A"/>
    <w:rsid w:val="005B38D9"/>
    <w:rsid w:val="005B44C1"/>
    <w:rsid w:val="005B5AA2"/>
    <w:rsid w:val="005B5C26"/>
    <w:rsid w:val="005C0F10"/>
    <w:rsid w:val="005C240D"/>
    <w:rsid w:val="005C2821"/>
    <w:rsid w:val="005C3A1B"/>
    <w:rsid w:val="005C4A2A"/>
    <w:rsid w:val="005C4FD1"/>
    <w:rsid w:val="005C5D0F"/>
    <w:rsid w:val="005D3E57"/>
    <w:rsid w:val="005D5B99"/>
    <w:rsid w:val="005E0454"/>
    <w:rsid w:val="005E4D22"/>
    <w:rsid w:val="005F0245"/>
    <w:rsid w:val="005F0352"/>
    <w:rsid w:val="005F0430"/>
    <w:rsid w:val="005F0BEA"/>
    <w:rsid w:val="005F42DF"/>
    <w:rsid w:val="005F5307"/>
    <w:rsid w:val="005F5488"/>
    <w:rsid w:val="005F62B6"/>
    <w:rsid w:val="005F6D27"/>
    <w:rsid w:val="006009A9"/>
    <w:rsid w:val="00600D5C"/>
    <w:rsid w:val="0060314B"/>
    <w:rsid w:val="006031D0"/>
    <w:rsid w:val="006031F9"/>
    <w:rsid w:val="0060424A"/>
    <w:rsid w:val="006057D0"/>
    <w:rsid w:val="00605F40"/>
    <w:rsid w:val="00607DD2"/>
    <w:rsid w:val="0061045F"/>
    <w:rsid w:val="00610F04"/>
    <w:rsid w:val="00612012"/>
    <w:rsid w:val="006130FA"/>
    <w:rsid w:val="00613AC3"/>
    <w:rsid w:val="006142CB"/>
    <w:rsid w:val="00617392"/>
    <w:rsid w:val="006174B5"/>
    <w:rsid w:val="0062351A"/>
    <w:rsid w:val="006245A3"/>
    <w:rsid w:val="00624D8A"/>
    <w:rsid w:val="006267F6"/>
    <w:rsid w:val="0063089E"/>
    <w:rsid w:val="00630C45"/>
    <w:rsid w:val="006310BA"/>
    <w:rsid w:val="00632BB8"/>
    <w:rsid w:val="006330B3"/>
    <w:rsid w:val="006349C2"/>
    <w:rsid w:val="006352B0"/>
    <w:rsid w:val="006366A2"/>
    <w:rsid w:val="00637A49"/>
    <w:rsid w:val="00637CCD"/>
    <w:rsid w:val="006406CB"/>
    <w:rsid w:val="006407EC"/>
    <w:rsid w:val="0064194A"/>
    <w:rsid w:val="00642267"/>
    <w:rsid w:val="00642C92"/>
    <w:rsid w:val="00642DC4"/>
    <w:rsid w:val="00645DE4"/>
    <w:rsid w:val="006469F7"/>
    <w:rsid w:val="00647281"/>
    <w:rsid w:val="00647A05"/>
    <w:rsid w:val="006546F4"/>
    <w:rsid w:val="00655831"/>
    <w:rsid w:val="006572CD"/>
    <w:rsid w:val="0066038E"/>
    <w:rsid w:val="006607CF"/>
    <w:rsid w:val="00660FFB"/>
    <w:rsid w:val="00662C94"/>
    <w:rsid w:val="006655FD"/>
    <w:rsid w:val="00665F0D"/>
    <w:rsid w:val="00670AA2"/>
    <w:rsid w:val="00670AC7"/>
    <w:rsid w:val="00670C52"/>
    <w:rsid w:val="00672169"/>
    <w:rsid w:val="0067363F"/>
    <w:rsid w:val="00674545"/>
    <w:rsid w:val="006745BB"/>
    <w:rsid w:val="00674D39"/>
    <w:rsid w:val="0067581F"/>
    <w:rsid w:val="00675EAB"/>
    <w:rsid w:val="0067620E"/>
    <w:rsid w:val="006817D2"/>
    <w:rsid w:val="006824F5"/>
    <w:rsid w:val="0068313D"/>
    <w:rsid w:val="0068391C"/>
    <w:rsid w:val="00684421"/>
    <w:rsid w:val="00685FF2"/>
    <w:rsid w:val="0069126A"/>
    <w:rsid w:val="00692460"/>
    <w:rsid w:val="00692500"/>
    <w:rsid w:val="00693CCD"/>
    <w:rsid w:val="006954A6"/>
    <w:rsid w:val="006969D4"/>
    <w:rsid w:val="00697F6F"/>
    <w:rsid w:val="006A022C"/>
    <w:rsid w:val="006A0651"/>
    <w:rsid w:val="006A0CEE"/>
    <w:rsid w:val="006A1A9C"/>
    <w:rsid w:val="006A2726"/>
    <w:rsid w:val="006A2EAF"/>
    <w:rsid w:val="006A3D52"/>
    <w:rsid w:val="006A61F7"/>
    <w:rsid w:val="006A7CEC"/>
    <w:rsid w:val="006B0DAA"/>
    <w:rsid w:val="006B1323"/>
    <w:rsid w:val="006B23EF"/>
    <w:rsid w:val="006B352B"/>
    <w:rsid w:val="006B4BA8"/>
    <w:rsid w:val="006B4EF0"/>
    <w:rsid w:val="006B643F"/>
    <w:rsid w:val="006B7480"/>
    <w:rsid w:val="006C2054"/>
    <w:rsid w:val="006C21BE"/>
    <w:rsid w:val="006C3476"/>
    <w:rsid w:val="006C5988"/>
    <w:rsid w:val="006C768F"/>
    <w:rsid w:val="006D093F"/>
    <w:rsid w:val="006D2E74"/>
    <w:rsid w:val="006D4C91"/>
    <w:rsid w:val="006D5AA9"/>
    <w:rsid w:val="006D5F58"/>
    <w:rsid w:val="006E5856"/>
    <w:rsid w:val="006E66B6"/>
    <w:rsid w:val="006E7060"/>
    <w:rsid w:val="006E7782"/>
    <w:rsid w:val="006E7A10"/>
    <w:rsid w:val="006F29B3"/>
    <w:rsid w:val="006F4292"/>
    <w:rsid w:val="006F6983"/>
    <w:rsid w:val="006F720F"/>
    <w:rsid w:val="006F74D5"/>
    <w:rsid w:val="007035EE"/>
    <w:rsid w:val="00707548"/>
    <w:rsid w:val="00707E2B"/>
    <w:rsid w:val="00707F3B"/>
    <w:rsid w:val="0071199C"/>
    <w:rsid w:val="00713ACC"/>
    <w:rsid w:val="007140A4"/>
    <w:rsid w:val="00715DB2"/>
    <w:rsid w:val="007176F7"/>
    <w:rsid w:val="0071770F"/>
    <w:rsid w:val="007177DE"/>
    <w:rsid w:val="00720675"/>
    <w:rsid w:val="00721510"/>
    <w:rsid w:val="007217BC"/>
    <w:rsid w:val="007236D0"/>
    <w:rsid w:val="007238E5"/>
    <w:rsid w:val="007266CB"/>
    <w:rsid w:val="00731A2E"/>
    <w:rsid w:val="00733136"/>
    <w:rsid w:val="00733CE3"/>
    <w:rsid w:val="007344F8"/>
    <w:rsid w:val="00734C01"/>
    <w:rsid w:val="007360D3"/>
    <w:rsid w:val="00741DFF"/>
    <w:rsid w:val="00742241"/>
    <w:rsid w:val="007451A2"/>
    <w:rsid w:val="0074596F"/>
    <w:rsid w:val="00746279"/>
    <w:rsid w:val="00750E81"/>
    <w:rsid w:val="00751515"/>
    <w:rsid w:val="007555C5"/>
    <w:rsid w:val="007566F1"/>
    <w:rsid w:val="00756FC7"/>
    <w:rsid w:val="00757775"/>
    <w:rsid w:val="007602EA"/>
    <w:rsid w:val="007605B2"/>
    <w:rsid w:val="00760E08"/>
    <w:rsid w:val="00761F51"/>
    <w:rsid w:val="00764161"/>
    <w:rsid w:val="00764495"/>
    <w:rsid w:val="00771944"/>
    <w:rsid w:val="00774D22"/>
    <w:rsid w:val="00775B0F"/>
    <w:rsid w:val="0077616F"/>
    <w:rsid w:val="00780DF9"/>
    <w:rsid w:val="00781E85"/>
    <w:rsid w:val="00783EFA"/>
    <w:rsid w:val="0078402F"/>
    <w:rsid w:val="00785988"/>
    <w:rsid w:val="00785DB3"/>
    <w:rsid w:val="0078715D"/>
    <w:rsid w:val="00790AF1"/>
    <w:rsid w:val="00791277"/>
    <w:rsid w:val="007913EA"/>
    <w:rsid w:val="0079201D"/>
    <w:rsid w:val="00796125"/>
    <w:rsid w:val="007A152C"/>
    <w:rsid w:val="007A465D"/>
    <w:rsid w:val="007A53EB"/>
    <w:rsid w:val="007A54D5"/>
    <w:rsid w:val="007A64C9"/>
    <w:rsid w:val="007A756B"/>
    <w:rsid w:val="007B0CF6"/>
    <w:rsid w:val="007B2DB5"/>
    <w:rsid w:val="007B3303"/>
    <w:rsid w:val="007B3BEB"/>
    <w:rsid w:val="007B4203"/>
    <w:rsid w:val="007B7961"/>
    <w:rsid w:val="007B79DE"/>
    <w:rsid w:val="007C1B4A"/>
    <w:rsid w:val="007C36FB"/>
    <w:rsid w:val="007C4E4A"/>
    <w:rsid w:val="007C70B3"/>
    <w:rsid w:val="007D0932"/>
    <w:rsid w:val="007D12F9"/>
    <w:rsid w:val="007D5175"/>
    <w:rsid w:val="007D52EF"/>
    <w:rsid w:val="007D66A3"/>
    <w:rsid w:val="007D7F2E"/>
    <w:rsid w:val="007E1119"/>
    <w:rsid w:val="007E1D5B"/>
    <w:rsid w:val="007E22FB"/>
    <w:rsid w:val="007E26AA"/>
    <w:rsid w:val="007E548A"/>
    <w:rsid w:val="007E646D"/>
    <w:rsid w:val="007F010A"/>
    <w:rsid w:val="007F038D"/>
    <w:rsid w:val="007F03E9"/>
    <w:rsid w:val="007F03EA"/>
    <w:rsid w:val="007F2873"/>
    <w:rsid w:val="007F2989"/>
    <w:rsid w:val="007F35F8"/>
    <w:rsid w:val="007F5012"/>
    <w:rsid w:val="007F5906"/>
    <w:rsid w:val="007F5AAC"/>
    <w:rsid w:val="007F5FA9"/>
    <w:rsid w:val="007F66CB"/>
    <w:rsid w:val="007F6870"/>
    <w:rsid w:val="007F6879"/>
    <w:rsid w:val="007F7C50"/>
    <w:rsid w:val="0080167A"/>
    <w:rsid w:val="00803688"/>
    <w:rsid w:val="00807591"/>
    <w:rsid w:val="00812273"/>
    <w:rsid w:val="00815FB2"/>
    <w:rsid w:val="008161C2"/>
    <w:rsid w:val="00817D2E"/>
    <w:rsid w:val="00821B4C"/>
    <w:rsid w:val="0082259D"/>
    <w:rsid w:val="008236C0"/>
    <w:rsid w:val="00826443"/>
    <w:rsid w:val="00827D73"/>
    <w:rsid w:val="00827ED9"/>
    <w:rsid w:val="008313CE"/>
    <w:rsid w:val="00832EBC"/>
    <w:rsid w:val="00832EEA"/>
    <w:rsid w:val="0083332E"/>
    <w:rsid w:val="00833F9E"/>
    <w:rsid w:val="00834AA1"/>
    <w:rsid w:val="00836C32"/>
    <w:rsid w:val="00840EF9"/>
    <w:rsid w:val="00841117"/>
    <w:rsid w:val="00841AE9"/>
    <w:rsid w:val="00842E94"/>
    <w:rsid w:val="008512BD"/>
    <w:rsid w:val="00851A94"/>
    <w:rsid w:val="00855026"/>
    <w:rsid w:val="00861411"/>
    <w:rsid w:val="00862BA5"/>
    <w:rsid w:val="00862F03"/>
    <w:rsid w:val="00865539"/>
    <w:rsid w:val="008665FE"/>
    <w:rsid w:val="00866AD9"/>
    <w:rsid w:val="00867213"/>
    <w:rsid w:val="008700EA"/>
    <w:rsid w:val="008701F9"/>
    <w:rsid w:val="0087073D"/>
    <w:rsid w:val="00873BA9"/>
    <w:rsid w:val="00876F11"/>
    <w:rsid w:val="00877CF3"/>
    <w:rsid w:val="00884ABA"/>
    <w:rsid w:val="00886052"/>
    <w:rsid w:val="00887D00"/>
    <w:rsid w:val="008919FA"/>
    <w:rsid w:val="00892422"/>
    <w:rsid w:val="00893178"/>
    <w:rsid w:val="00893C8A"/>
    <w:rsid w:val="00893E41"/>
    <w:rsid w:val="008945A8"/>
    <w:rsid w:val="00895943"/>
    <w:rsid w:val="00896D7E"/>
    <w:rsid w:val="00897129"/>
    <w:rsid w:val="008A3325"/>
    <w:rsid w:val="008A7EE4"/>
    <w:rsid w:val="008B1ACB"/>
    <w:rsid w:val="008B2B92"/>
    <w:rsid w:val="008B2C2B"/>
    <w:rsid w:val="008B4000"/>
    <w:rsid w:val="008B47A6"/>
    <w:rsid w:val="008B62F2"/>
    <w:rsid w:val="008B672D"/>
    <w:rsid w:val="008C1094"/>
    <w:rsid w:val="008C4EB6"/>
    <w:rsid w:val="008C6445"/>
    <w:rsid w:val="008C6583"/>
    <w:rsid w:val="008C76B4"/>
    <w:rsid w:val="008D150B"/>
    <w:rsid w:val="008D68C9"/>
    <w:rsid w:val="008E252E"/>
    <w:rsid w:val="008E28C7"/>
    <w:rsid w:val="008E5021"/>
    <w:rsid w:val="008E6187"/>
    <w:rsid w:val="008E6A5E"/>
    <w:rsid w:val="008E7411"/>
    <w:rsid w:val="008F0393"/>
    <w:rsid w:val="008F0C7F"/>
    <w:rsid w:val="008F7978"/>
    <w:rsid w:val="00900114"/>
    <w:rsid w:val="0090228A"/>
    <w:rsid w:val="009037E0"/>
    <w:rsid w:val="00904749"/>
    <w:rsid w:val="009048BA"/>
    <w:rsid w:val="009116A1"/>
    <w:rsid w:val="00912D7D"/>
    <w:rsid w:val="00913496"/>
    <w:rsid w:val="0091433E"/>
    <w:rsid w:val="0092199B"/>
    <w:rsid w:val="00926A4C"/>
    <w:rsid w:val="00926C17"/>
    <w:rsid w:val="00926ECF"/>
    <w:rsid w:val="0093012F"/>
    <w:rsid w:val="0093094E"/>
    <w:rsid w:val="00931352"/>
    <w:rsid w:val="00933A23"/>
    <w:rsid w:val="00933FFA"/>
    <w:rsid w:val="00934ABF"/>
    <w:rsid w:val="0093617E"/>
    <w:rsid w:val="009369B8"/>
    <w:rsid w:val="00936DCB"/>
    <w:rsid w:val="009414D1"/>
    <w:rsid w:val="009423FC"/>
    <w:rsid w:val="0094376C"/>
    <w:rsid w:val="00943C71"/>
    <w:rsid w:val="00946024"/>
    <w:rsid w:val="00947856"/>
    <w:rsid w:val="00947D11"/>
    <w:rsid w:val="00947E97"/>
    <w:rsid w:val="00950CC9"/>
    <w:rsid w:val="009511A4"/>
    <w:rsid w:val="00952034"/>
    <w:rsid w:val="00953152"/>
    <w:rsid w:val="00954BFF"/>
    <w:rsid w:val="00956090"/>
    <w:rsid w:val="00956A66"/>
    <w:rsid w:val="00956D3B"/>
    <w:rsid w:val="009577DD"/>
    <w:rsid w:val="0096015C"/>
    <w:rsid w:val="009614E6"/>
    <w:rsid w:val="009642A3"/>
    <w:rsid w:val="00964D58"/>
    <w:rsid w:val="009674BC"/>
    <w:rsid w:val="00967B30"/>
    <w:rsid w:val="00970A41"/>
    <w:rsid w:val="00971D91"/>
    <w:rsid w:val="00971F09"/>
    <w:rsid w:val="0097557C"/>
    <w:rsid w:val="0097603C"/>
    <w:rsid w:val="0098040B"/>
    <w:rsid w:val="00981689"/>
    <w:rsid w:val="00981C1E"/>
    <w:rsid w:val="009834E0"/>
    <w:rsid w:val="00983CC0"/>
    <w:rsid w:val="00985D81"/>
    <w:rsid w:val="00986179"/>
    <w:rsid w:val="009865E1"/>
    <w:rsid w:val="00986FE5"/>
    <w:rsid w:val="00987475"/>
    <w:rsid w:val="00990F15"/>
    <w:rsid w:val="009935FB"/>
    <w:rsid w:val="00995534"/>
    <w:rsid w:val="00995CFC"/>
    <w:rsid w:val="00996B7A"/>
    <w:rsid w:val="00996C1C"/>
    <w:rsid w:val="009974AF"/>
    <w:rsid w:val="009A558A"/>
    <w:rsid w:val="009A6A16"/>
    <w:rsid w:val="009B18F9"/>
    <w:rsid w:val="009B1F58"/>
    <w:rsid w:val="009B2C84"/>
    <w:rsid w:val="009B2F5F"/>
    <w:rsid w:val="009B4428"/>
    <w:rsid w:val="009B53BE"/>
    <w:rsid w:val="009B6497"/>
    <w:rsid w:val="009C465E"/>
    <w:rsid w:val="009C4FB5"/>
    <w:rsid w:val="009C5D79"/>
    <w:rsid w:val="009D1046"/>
    <w:rsid w:val="009D1148"/>
    <w:rsid w:val="009D1295"/>
    <w:rsid w:val="009D1708"/>
    <w:rsid w:val="009D2956"/>
    <w:rsid w:val="009D2A2D"/>
    <w:rsid w:val="009D2C34"/>
    <w:rsid w:val="009D36EA"/>
    <w:rsid w:val="009D4687"/>
    <w:rsid w:val="009D541B"/>
    <w:rsid w:val="009D5C78"/>
    <w:rsid w:val="009D6513"/>
    <w:rsid w:val="009D6C65"/>
    <w:rsid w:val="009D77DE"/>
    <w:rsid w:val="009D7FF3"/>
    <w:rsid w:val="009E0F02"/>
    <w:rsid w:val="009E2CC4"/>
    <w:rsid w:val="009E5E1A"/>
    <w:rsid w:val="009E6A28"/>
    <w:rsid w:val="009E7B18"/>
    <w:rsid w:val="009E7DAF"/>
    <w:rsid w:val="009F211A"/>
    <w:rsid w:val="009F3437"/>
    <w:rsid w:val="009F408F"/>
    <w:rsid w:val="009F5B2F"/>
    <w:rsid w:val="009F7831"/>
    <w:rsid w:val="009F7CF0"/>
    <w:rsid w:val="00A0285D"/>
    <w:rsid w:val="00A03B54"/>
    <w:rsid w:val="00A040B1"/>
    <w:rsid w:val="00A047E2"/>
    <w:rsid w:val="00A06911"/>
    <w:rsid w:val="00A1050B"/>
    <w:rsid w:val="00A105CD"/>
    <w:rsid w:val="00A11E40"/>
    <w:rsid w:val="00A1335E"/>
    <w:rsid w:val="00A13C0B"/>
    <w:rsid w:val="00A14F30"/>
    <w:rsid w:val="00A20DB1"/>
    <w:rsid w:val="00A2130E"/>
    <w:rsid w:val="00A22304"/>
    <w:rsid w:val="00A22A96"/>
    <w:rsid w:val="00A2496B"/>
    <w:rsid w:val="00A270FF"/>
    <w:rsid w:val="00A2732C"/>
    <w:rsid w:val="00A277FC"/>
    <w:rsid w:val="00A323B7"/>
    <w:rsid w:val="00A33476"/>
    <w:rsid w:val="00A3422D"/>
    <w:rsid w:val="00A34FE6"/>
    <w:rsid w:val="00A372B7"/>
    <w:rsid w:val="00A37EF9"/>
    <w:rsid w:val="00A41772"/>
    <w:rsid w:val="00A41A08"/>
    <w:rsid w:val="00A42D6D"/>
    <w:rsid w:val="00A43B97"/>
    <w:rsid w:val="00A50A01"/>
    <w:rsid w:val="00A50DEE"/>
    <w:rsid w:val="00A534F4"/>
    <w:rsid w:val="00A54EB4"/>
    <w:rsid w:val="00A55B81"/>
    <w:rsid w:val="00A5635A"/>
    <w:rsid w:val="00A563FF"/>
    <w:rsid w:val="00A60DCF"/>
    <w:rsid w:val="00A60E04"/>
    <w:rsid w:val="00A62512"/>
    <w:rsid w:val="00A6404C"/>
    <w:rsid w:val="00A65692"/>
    <w:rsid w:val="00A72BE7"/>
    <w:rsid w:val="00A804B4"/>
    <w:rsid w:val="00A807C9"/>
    <w:rsid w:val="00A81297"/>
    <w:rsid w:val="00A8345A"/>
    <w:rsid w:val="00A839D4"/>
    <w:rsid w:val="00A83F05"/>
    <w:rsid w:val="00A8548E"/>
    <w:rsid w:val="00A862B1"/>
    <w:rsid w:val="00A86D9F"/>
    <w:rsid w:val="00A87819"/>
    <w:rsid w:val="00A94D22"/>
    <w:rsid w:val="00A96BF9"/>
    <w:rsid w:val="00A97891"/>
    <w:rsid w:val="00A97BE6"/>
    <w:rsid w:val="00AA05A2"/>
    <w:rsid w:val="00AA213F"/>
    <w:rsid w:val="00AA23A2"/>
    <w:rsid w:val="00AA4762"/>
    <w:rsid w:val="00AA6EC1"/>
    <w:rsid w:val="00AA7250"/>
    <w:rsid w:val="00AA76AD"/>
    <w:rsid w:val="00AB3FFE"/>
    <w:rsid w:val="00AB4E28"/>
    <w:rsid w:val="00AB53A5"/>
    <w:rsid w:val="00AC03CB"/>
    <w:rsid w:val="00AC0FEA"/>
    <w:rsid w:val="00AC1B8D"/>
    <w:rsid w:val="00AC200F"/>
    <w:rsid w:val="00AC33B7"/>
    <w:rsid w:val="00AC4439"/>
    <w:rsid w:val="00AC5A8B"/>
    <w:rsid w:val="00AC67BC"/>
    <w:rsid w:val="00AC77A5"/>
    <w:rsid w:val="00AC78FE"/>
    <w:rsid w:val="00AC79FB"/>
    <w:rsid w:val="00AC7A73"/>
    <w:rsid w:val="00AD20E0"/>
    <w:rsid w:val="00AD42B4"/>
    <w:rsid w:val="00AD4B4C"/>
    <w:rsid w:val="00AD4E70"/>
    <w:rsid w:val="00AD529D"/>
    <w:rsid w:val="00AD5A99"/>
    <w:rsid w:val="00AD6EC9"/>
    <w:rsid w:val="00AE1A15"/>
    <w:rsid w:val="00AE51AF"/>
    <w:rsid w:val="00AE5E46"/>
    <w:rsid w:val="00AE6052"/>
    <w:rsid w:val="00AE6107"/>
    <w:rsid w:val="00AF064C"/>
    <w:rsid w:val="00AF1310"/>
    <w:rsid w:val="00AF2456"/>
    <w:rsid w:val="00AF3C49"/>
    <w:rsid w:val="00AF4F4E"/>
    <w:rsid w:val="00AF52FE"/>
    <w:rsid w:val="00AF5716"/>
    <w:rsid w:val="00AF5D77"/>
    <w:rsid w:val="00AF6372"/>
    <w:rsid w:val="00AF68CD"/>
    <w:rsid w:val="00AF7770"/>
    <w:rsid w:val="00B0023C"/>
    <w:rsid w:val="00B00FF0"/>
    <w:rsid w:val="00B01682"/>
    <w:rsid w:val="00B024FC"/>
    <w:rsid w:val="00B03106"/>
    <w:rsid w:val="00B0316F"/>
    <w:rsid w:val="00B03A55"/>
    <w:rsid w:val="00B16016"/>
    <w:rsid w:val="00B1781D"/>
    <w:rsid w:val="00B22774"/>
    <w:rsid w:val="00B236E3"/>
    <w:rsid w:val="00B2438E"/>
    <w:rsid w:val="00B24960"/>
    <w:rsid w:val="00B2565C"/>
    <w:rsid w:val="00B2625A"/>
    <w:rsid w:val="00B30537"/>
    <w:rsid w:val="00B30BD1"/>
    <w:rsid w:val="00B350F3"/>
    <w:rsid w:val="00B35F64"/>
    <w:rsid w:val="00B413F1"/>
    <w:rsid w:val="00B41F22"/>
    <w:rsid w:val="00B42D08"/>
    <w:rsid w:val="00B43E15"/>
    <w:rsid w:val="00B44337"/>
    <w:rsid w:val="00B44CC2"/>
    <w:rsid w:val="00B46790"/>
    <w:rsid w:val="00B46A8F"/>
    <w:rsid w:val="00B477DD"/>
    <w:rsid w:val="00B51B43"/>
    <w:rsid w:val="00B51F4A"/>
    <w:rsid w:val="00B555E7"/>
    <w:rsid w:val="00B573E3"/>
    <w:rsid w:val="00B57998"/>
    <w:rsid w:val="00B6239E"/>
    <w:rsid w:val="00B62EAC"/>
    <w:rsid w:val="00B635B0"/>
    <w:rsid w:val="00B66788"/>
    <w:rsid w:val="00B675FD"/>
    <w:rsid w:val="00B67F00"/>
    <w:rsid w:val="00B72CF1"/>
    <w:rsid w:val="00B73A40"/>
    <w:rsid w:val="00B76F91"/>
    <w:rsid w:val="00B77716"/>
    <w:rsid w:val="00B825EB"/>
    <w:rsid w:val="00B82E2A"/>
    <w:rsid w:val="00B83109"/>
    <w:rsid w:val="00B84B01"/>
    <w:rsid w:val="00B90F57"/>
    <w:rsid w:val="00B911AA"/>
    <w:rsid w:val="00B93441"/>
    <w:rsid w:val="00B93B28"/>
    <w:rsid w:val="00B94351"/>
    <w:rsid w:val="00B94D8E"/>
    <w:rsid w:val="00B97D54"/>
    <w:rsid w:val="00BA20CE"/>
    <w:rsid w:val="00BA26DE"/>
    <w:rsid w:val="00BA2BCA"/>
    <w:rsid w:val="00BA3770"/>
    <w:rsid w:val="00BA3FE9"/>
    <w:rsid w:val="00BA41F3"/>
    <w:rsid w:val="00BA4BD4"/>
    <w:rsid w:val="00BA5B47"/>
    <w:rsid w:val="00BA5C11"/>
    <w:rsid w:val="00BB18A8"/>
    <w:rsid w:val="00BB3B60"/>
    <w:rsid w:val="00BB44EE"/>
    <w:rsid w:val="00BB5020"/>
    <w:rsid w:val="00BB5D40"/>
    <w:rsid w:val="00BB6AB8"/>
    <w:rsid w:val="00BC7A71"/>
    <w:rsid w:val="00BD048D"/>
    <w:rsid w:val="00BD2316"/>
    <w:rsid w:val="00BD49FD"/>
    <w:rsid w:val="00BD5B1D"/>
    <w:rsid w:val="00BD65E8"/>
    <w:rsid w:val="00BD6833"/>
    <w:rsid w:val="00BD7661"/>
    <w:rsid w:val="00BD7D94"/>
    <w:rsid w:val="00BE0F50"/>
    <w:rsid w:val="00BE11B1"/>
    <w:rsid w:val="00BE4818"/>
    <w:rsid w:val="00BE6B02"/>
    <w:rsid w:val="00BF0C89"/>
    <w:rsid w:val="00BF0DFC"/>
    <w:rsid w:val="00BF4439"/>
    <w:rsid w:val="00BF4EA3"/>
    <w:rsid w:val="00BF5342"/>
    <w:rsid w:val="00BF53DD"/>
    <w:rsid w:val="00BF6101"/>
    <w:rsid w:val="00C03057"/>
    <w:rsid w:val="00C04A9B"/>
    <w:rsid w:val="00C04EA2"/>
    <w:rsid w:val="00C05102"/>
    <w:rsid w:val="00C0567D"/>
    <w:rsid w:val="00C0788E"/>
    <w:rsid w:val="00C10884"/>
    <w:rsid w:val="00C110E7"/>
    <w:rsid w:val="00C11AEB"/>
    <w:rsid w:val="00C121B5"/>
    <w:rsid w:val="00C15A1B"/>
    <w:rsid w:val="00C17F3B"/>
    <w:rsid w:val="00C216D3"/>
    <w:rsid w:val="00C23062"/>
    <w:rsid w:val="00C26BBF"/>
    <w:rsid w:val="00C314C1"/>
    <w:rsid w:val="00C32EA9"/>
    <w:rsid w:val="00C33433"/>
    <w:rsid w:val="00C33475"/>
    <w:rsid w:val="00C349F6"/>
    <w:rsid w:val="00C36368"/>
    <w:rsid w:val="00C36983"/>
    <w:rsid w:val="00C369BA"/>
    <w:rsid w:val="00C36D17"/>
    <w:rsid w:val="00C414FE"/>
    <w:rsid w:val="00C441EF"/>
    <w:rsid w:val="00C44C05"/>
    <w:rsid w:val="00C471AE"/>
    <w:rsid w:val="00C47649"/>
    <w:rsid w:val="00C5001C"/>
    <w:rsid w:val="00C50A8A"/>
    <w:rsid w:val="00C5174C"/>
    <w:rsid w:val="00C524C3"/>
    <w:rsid w:val="00C52F8B"/>
    <w:rsid w:val="00C535CF"/>
    <w:rsid w:val="00C53ED0"/>
    <w:rsid w:val="00C565AF"/>
    <w:rsid w:val="00C57780"/>
    <w:rsid w:val="00C6253B"/>
    <w:rsid w:val="00C63874"/>
    <w:rsid w:val="00C67636"/>
    <w:rsid w:val="00C7326D"/>
    <w:rsid w:val="00C740DF"/>
    <w:rsid w:val="00C8146C"/>
    <w:rsid w:val="00C847EF"/>
    <w:rsid w:val="00C8483A"/>
    <w:rsid w:val="00C862D5"/>
    <w:rsid w:val="00C8668F"/>
    <w:rsid w:val="00C91B83"/>
    <w:rsid w:val="00C920E6"/>
    <w:rsid w:val="00C956A5"/>
    <w:rsid w:val="00CA0175"/>
    <w:rsid w:val="00CA0578"/>
    <w:rsid w:val="00CA11B8"/>
    <w:rsid w:val="00CA25AA"/>
    <w:rsid w:val="00CA29A5"/>
    <w:rsid w:val="00CA2FE7"/>
    <w:rsid w:val="00CA6048"/>
    <w:rsid w:val="00CA6BD4"/>
    <w:rsid w:val="00CB1D1E"/>
    <w:rsid w:val="00CB27CD"/>
    <w:rsid w:val="00CB2ADE"/>
    <w:rsid w:val="00CB5D94"/>
    <w:rsid w:val="00CC1B73"/>
    <w:rsid w:val="00CC6685"/>
    <w:rsid w:val="00CC6EC6"/>
    <w:rsid w:val="00CD2946"/>
    <w:rsid w:val="00CD2CCD"/>
    <w:rsid w:val="00CE1867"/>
    <w:rsid w:val="00CE1896"/>
    <w:rsid w:val="00CE25DA"/>
    <w:rsid w:val="00CE3054"/>
    <w:rsid w:val="00CE4A49"/>
    <w:rsid w:val="00CE52BC"/>
    <w:rsid w:val="00CF0814"/>
    <w:rsid w:val="00CF11D0"/>
    <w:rsid w:val="00CF2DDE"/>
    <w:rsid w:val="00CF6F96"/>
    <w:rsid w:val="00CF7FB8"/>
    <w:rsid w:val="00D03DF8"/>
    <w:rsid w:val="00D05206"/>
    <w:rsid w:val="00D052F2"/>
    <w:rsid w:val="00D07AA0"/>
    <w:rsid w:val="00D1021F"/>
    <w:rsid w:val="00D10E45"/>
    <w:rsid w:val="00D14438"/>
    <w:rsid w:val="00D14A51"/>
    <w:rsid w:val="00D16BEF"/>
    <w:rsid w:val="00D316F4"/>
    <w:rsid w:val="00D31AB4"/>
    <w:rsid w:val="00D31D9A"/>
    <w:rsid w:val="00D32AA8"/>
    <w:rsid w:val="00D3511E"/>
    <w:rsid w:val="00D35484"/>
    <w:rsid w:val="00D37D19"/>
    <w:rsid w:val="00D37E50"/>
    <w:rsid w:val="00D40365"/>
    <w:rsid w:val="00D40D07"/>
    <w:rsid w:val="00D40FC2"/>
    <w:rsid w:val="00D4136E"/>
    <w:rsid w:val="00D425AB"/>
    <w:rsid w:val="00D42699"/>
    <w:rsid w:val="00D45903"/>
    <w:rsid w:val="00D45945"/>
    <w:rsid w:val="00D46611"/>
    <w:rsid w:val="00D468C6"/>
    <w:rsid w:val="00D5011B"/>
    <w:rsid w:val="00D50225"/>
    <w:rsid w:val="00D5137A"/>
    <w:rsid w:val="00D51698"/>
    <w:rsid w:val="00D555ED"/>
    <w:rsid w:val="00D556A5"/>
    <w:rsid w:val="00D67EEB"/>
    <w:rsid w:val="00D734DB"/>
    <w:rsid w:val="00D7451F"/>
    <w:rsid w:val="00D75EF5"/>
    <w:rsid w:val="00D824EE"/>
    <w:rsid w:val="00D82E99"/>
    <w:rsid w:val="00D862A2"/>
    <w:rsid w:val="00D86627"/>
    <w:rsid w:val="00D91AC3"/>
    <w:rsid w:val="00D92279"/>
    <w:rsid w:val="00D92297"/>
    <w:rsid w:val="00D925F0"/>
    <w:rsid w:val="00D93FC8"/>
    <w:rsid w:val="00D94B31"/>
    <w:rsid w:val="00D953D1"/>
    <w:rsid w:val="00DA1ABE"/>
    <w:rsid w:val="00DA4D6C"/>
    <w:rsid w:val="00DA4DAF"/>
    <w:rsid w:val="00DB0DFD"/>
    <w:rsid w:val="00DB152C"/>
    <w:rsid w:val="00DB1659"/>
    <w:rsid w:val="00DB2394"/>
    <w:rsid w:val="00DB2A1C"/>
    <w:rsid w:val="00DB4375"/>
    <w:rsid w:val="00DB6242"/>
    <w:rsid w:val="00DC1071"/>
    <w:rsid w:val="00DC14E5"/>
    <w:rsid w:val="00DC17D7"/>
    <w:rsid w:val="00DC2749"/>
    <w:rsid w:val="00DC4671"/>
    <w:rsid w:val="00DC5D03"/>
    <w:rsid w:val="00DC61CA"/>
    <w:rsid w:val="00DD6950"/>
    <w:rsid w:val="00DD72DA"/>
    <w:rsid w:val="00DE0F1A"/>
    <w:rsid w:val="00DE2517"/>
    <w:rsid w:val="00DE5870"/>
    <w:rsid w:val="00DE5FC0"/>
    <w:rsid w:val="00DE60B3"/>
    <w:rsid w:val="00DE6C8C"/>
    <w:rsid w:val="00DE75D0"/>
    <w:rsid w:val="00DE7D96"/>
    <w:rsid w:val="00DF1741"/>
    <w:rsid w:val="00DF34B3"/>
    <w:rsid w:val="00DF4577"/>
    <w:rsid w:val="00E0016E"/>
    <w:rsid w:val="00E00DD2"/>
    <w:rsid w:val="00E019AE"/>
    <w:rsid w:val="00E01E56"/>
    <w:rsid w:val="00E02E4A"/>
    <w:rsid w:val="00E02EAE"/>
    <w:rsid w:val="00E038A8"/>
    <w:rsid w:val="00E03E85"/>
    <w:rsid w:val="00E04D8E"/>
    <w:rsid w:val="00E05006"/>
    <w:rsid w:val="00E1055B"/>
    <w:rsid w:val="00E109A7"/>
    <w:rsid w:val="00E10B5A"/>
    <w:rsid w:val="00E11C3C"/>
    <w:rsid w:val="00E1270B"/>
    <w:rsid w:val="00E14989"/>
    <w:rsid w:val="00E15720"/>
    <w:rsid w:val="00E15D41"/>
    <w:rsid w:val="00E205DC"/>
    <w:rsid w:val="00E20BD5"/>
    <w:rsid w:val="00E21E93"/>
    <w:rsid w:val="00E222B5"/>
    <w:rsid w:val="00E23CBB"/>
    <w:rsid w:val="00E31292"/>
    <w:rsid w:val="00E31CA1"/>
    <w:rsid w:val="00E31ED0"/>
    <w:rsid w:val="00E332EF"/>
    <w:rsid w:val="00E33B78"/>
    <w:rsid w:val="00E3477A"/>
    <w:rsid w:val="00E371B5"/>
    <w:rsid w:val="00E37E51"/>
    <w:rsid w:val="00E43586"/>
    <w:rsid w:val="00E43AA1"/>
    <w:rsid w:val="00E46566"/>
    <w:rsid w:val="00E5054E"/>
    <w:rsid w:val="00E50649"/>
    <w:rsid w:val="00E50812"/>
    <w:rsid w:val="00E51697"/>
    <w:rsid w:val="00E55051"/>
    <w:rsid w:val="00E55723"/>
    <w:rsid w:val="00E56196"/>
    <w:rsid w:val="00E5648D"/>
    <w:rsid w:val="00E569F9"/>
    <w:rsid w:val="00E61CE5"/>
    <w:rsid w:val="00E62021"/>
    <w:rsid w:val="00E64E37"/>
    <w:rsid w:val="00E6555B"/>
    <w:rsid w:val="00E66A8E"/>
    <w:rsid w:val="00E707B9"/>
    <w:rsid w:val="00E7148A"/>
    <w:rsid w:val="00E72937"/>
    <w:rsid w:val="00E74B56"/>
    <w:rsid w:val="00E76DAF"/>
    <w:rsid w:val="00E80772"/>
    <w:rsid w:val="00E81170"/>
    <w:rsid w:val="00E814AC"/>
    <w:rsid w:val="00E835CD"/>
    <w:rsid w:val="00E83B5E"/>
    <w:rsid w:val="00E8504C"/>
    <w:rsid w:val="00E85BD6"/>
    <w:rsid w:val="00E85CA1"/>
    <w:rsid w:val="00E8672D"/>
    <w:rsid w:val="00E874F9"/>
    <w:rsid w:val="00E920D9"/>
    <w:rsid w:val="00E92E46"/>
    <w:rsid w:val="00E9314A"/>
    <w:rsid w:val="00E93978"/>
    <w:rsid w:val="00E93BED"/>
    <w:rsid w:val="00E941AA"/>
    <w:rsid w:val="00E95595"/>
    <w:rsid w:val="00E9687C"/>
    <w:rsid w:val="00E96FBB"/>
    <w:rsid w:val="00E97719"/>
    <w:rsid w:val="00EA1467"/>
    <w:rsid w:val="00EA2450"/>
    <w:rsid w:val="00EA278B"/>
    <w:rsid w:val="00EA36CD"/>
    <w:rsid w:val="00EA50CF"/>
    <w:rsid w:val="00EA550F"/>
    <w:rsid w:val="00EA5C77"/>
    <w:rsid w:val="00EA7521"/>
    <w:rsid w:val="00EA7ABA"/>
    <w:rsid w:val="00EB03F7"/>
    <w:rsid w:val="00EB149D"/>
    <w:rsid w:val="00EC0260"/>
    <w:rsid w:val="00EC14AA"/>
    <w:rsid w:val="00EC1A62"/>
    <w:rsid w:val="00EC1D71"/>
    <w:rsid w:val="00EC5C0E"/>
    <w:rsid w:val="00ED0F71"/>
    <w:rsid w:val="00ED3608"/>
    <w:rsid w:val="00ED4D64"/>
    <w:rsid w:val="00ED73E5"/>
    <w:rsid w:val="00EE0A29"/>
    <w:rsid w:val="00EE1AF8"/>
    <w:rsid w:val="00EE44D8"/>
    <w:rsid w:val="00EE58F4"/>
    <w:rsid w:val="00EE7B90"/>
    <w:rsid w:val="00EE7DF6"/>
    <w:rsid w:val="00EF10A2"/>
    <w:rsid w:val="00EF2321"/>
    <w:rsid w:val="00EF275F"/>
    <w:rsid w:val="00EF2B6B"/>
    <w:rsid w:val="00EF47DD"/>
    <w:rsid w:val="00EF6C8A"/>
    <w:rsid w:val="00F0416D"/>
    <w:rsid w:val="00F0567E"/>
    <w:rsid w:val="00F05EC3"/>
    <w:rsid w:val="00F06030"/>
    <w:rsid w:val="00F06E45"/>
    <w:rsid w:val="00F106E6"/>
    <w:rsid w:val="00F176B5"/>
    <w:rsid w:val="00F20CFF"/>
    <w:rsid w:val="00F20F71"/>
    <w:rsid w:val="00F239BD"/>
    <w:rsid w:val="00F23EAA"/>
    <w:rsid w:val="00F24313"/>
    <w:rsid w:val="00F30913"/>
    <w:rsid w:val="00F30984"/>
    <w:rsid w:val="00F30B16"/>
    <w:rsid w:val="00F33914"/>
    <w:rsid w:val="00F36835"/>
    <w:rsid w:val="00F374F3"/>
    <w:rsid w:val="00F411DA"/>
    <w:rsid w:val="00F4362D"/>
    <w:rsid w:val="00F46C70"/>
    <w:rsid w:val="00F507D5"/>
    <w:rsid w:val="00F515CE"/>
    <w:rsid w:val="00F51E5D"/>
    <w:rsid w:val="00F54769"/>
    <w:rsid w:val="00F54B74"/>
    <w:rsid w:val="00F55024"/>
    <w:rsid w:val="00F561ED"/>
    <w:rsid w:val="00F568AA"/>
    <w:rsid w:val="00F60D52"/>
    <w:rsid w:val="00F62B78"/>
    <w:rsid w:val="00F64359"/>
    <w:rsid w:val="00F65C35"/>
    <w:rsid w:val="00F7104B"/>
    <w:rsid w:val="00F716D0"/>
    <w:rsid w:val="00F730BA"/>
    <w:rsid w:val="00F73C26"/>
    <w:rsid w:val="00F7662A"/>
    <w:rsid w:val="00F768D2"/>
    <w:rsid w:val="00F77479"/>
    <w:rsid w:val="00F77E77"/>
    <w:rsid w:val="00F803E3"/>
    <w:rsid w:val="00F82ECF"/>
    <w:rsid w:val="00F83B38"/>
    <w:rsid w:val="00F84325"/>
    <w:rsid w:val="00F84C0F"/>
    <w:rsid w:val="00F879BF"/>
    <w:rsid w:val="00F87ACA"/>
    <w:rsid w:val="00F90B52"/>
    <w:rsid w:val="00F92887"/>
    <w:rsid w:val="00F9353C"/>
    <w:rsid w:val="00F949CC"/>
    <w:rsid w:val="00F94BD7"/>
    <w:rsid w:val="00F97368"/>
    <w:rsid w:val="00F97591"/>
    <w:rsid w:val="00FA0CFA"/>
    <w:rsid w:val="00FA23D7"/>
    <w:rsid w:val="00FA324F"/>
    <w:rsid w:val="00FA5D2D"/>
    <w:rsid w:val="00FA617C"/>
    <w:rsid w:val="00FA728C"/>
    <w:rsid w:val="00FB2BC4"/>
    <w:rsid w:val="00FB2CDE"/>
    <w:rsid w:val="00FB5820"/>
    <w:rsid w:val="00FB660F"/>
    <w:rsid w:val="00FB70FF"/>
    <w:rsid w:val="00FB71A0"/>
    <w:rsid w:val="00FB7774"/>
    <w:rsid w:val="00FB77EC"/>
    <w:rsid w:val="00FC2873"/>
    <w:rsid w:val="00FC5F16"/>
    <w:rsid w:val="00FC70A6"/>
    <w:rsid w:val="00FC714F"/>
    <w:rsid w:val="00FD34EA"/>
    <w:rsid w:val="00FD35D3"/>
    <w:rsid w:val="00FD7A00"/>
    <w:rsid w:val="00FD7EBB"/>
    <w:rsid w:val="00FE18EF"/>
    <w:rsid w:val="00FE1A35"/>
    <w:rsid w:val="00FE2FFC"/>
    <w:rsid w:val="00FF04CA"/>
    <w:rsid w:val="00FF0BFB"/>
    <w:rsid w:val="00FF0EE2"/>
    <w:rsid w:val="00FF14CA"/>
    <w:rsid w:val="00FF2B87"/>
    <w:rsid w:val="00FF32D9"/>
    <w:rsid w:val="00FF5DDF"/>
    <w:rsid w:val="00FF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chartTrackingRefBased/>
  <w15:docId w15:val="{79B97159-4E8D-4A3A-8915-CD7BEECD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24"/>
    <w:pPr>
      <w:numPr>
        <w:ilvl w:val="1"/>
        <w:numId w:val="2"/>
      </w:numPr>
      <w:spacing w:after="120"/>
      <w:ind w:left="709" w:hanging="709"/>
      <w:jc w:val="both"/>
    </w:pPr>
    <w:rPr>
      <w:rFonts w:ascii="Calibri" w:hAnsi="Calibri"/>
      <w:sz w:val="24"/>
    </w:rPr>
  </w:style>
  <w:style w:type="paragraph" w:styleId="Heading1">
    <w:name w:val="heading 1"/>
    <w:basedOn w:val="Normal"/>
    <w:next w:val="Normal"/>
    <w:qFormat/>
    <w:rsid w:val="00B03106"/>
    <w:pPr>
      <w:numPr>
        <w:ilvl w:val="0"/>
        <w:numId w:val="1"/>
      </w:numPr>
      <w:spacing w:before="120"/>
      <w:outlineLvl w:val="0"/>
    </w:pPr>
    <w:rPr>
      <w:b/>
    </w:rPr>
  </w:style>
  <w:style w:type="paragraph" w:styleId="Heading2">
    <w:name w:val="heading 2"/>
    <w:basedOn w:val="Normal"/>
    <w:next w:val="Normal"/>
    <w:qFormat/>
    <w:rsid w:val="00FE18EF"/>
    <w:pPr>
      <w:spacing w:before="120"/>
      <w:outlineLvl w:val="1"/>
    </w:p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style>
  <w:style w:type="paragraph" w:styleId="BodyTextIndent2">
    <w:name w:val="Body Text Indent 2"/>
    <w:basedOn w:val="Normal"/>
    <w:pPr>
      <w:ind w:left="1418"/>
    </w:pPr>
  </w:style>
  <w:style w:type="paragraph" w:styleId="BodyTextIndent3">
    <w:name w:val="Body Text Indent 3"/>
    <w:basedOn w:val="Normal"/>
    <w:pPr>
      <w:ind w:left="1134" w:hanging="425"/>
    </w:pPr>
  </w:style>
  <w:style w:type="character" w:styleId="Hyperlink">
    <w:name w:val="Hyperlink"/>
    <w:rsid w:val="00D14A51"/>
    <w:rPr>
      <w:color w:val="0000FF"/>
      <w:u w:val="single"/>
    </w:rPr>
  </w:style>
  <w:style w:type="table" w:styleId="TableGrid">
    <w:name w:val="Table Grid"/>
    <w:basedOn w:val="TableNormal"/>
    <w:uiPriority w:val="39"/>
    <w:rsid w:val="00EC1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B5AA2"/>
    <w:rPr>
      <w:rFonts w:ascii="Tahoma" w:hAnsi="Tahoma" w:cs="Tahoma"/>
      <w:sz w:val="16"/>
      <w:szCs w:val="16"/>
    </w:rPr>
  </w:style>
  <w:style w:type="paragraph" w:customStyle="1" w:styleId="TxBrp5">
    <w:name w:val="TxBr_p5"/>
    <w:basedOn w:val="Normal"/>
    <w:rsid w:val="006E7060"/>
    <w:pPr>
      <w:widowControl w:val="0"/>
      <w:tabs>
        <w:tab w:val="left" w:pos="651"/>
      </w:tabs>
      <w:autoSpaceDE w:val="0"/>
      <w:autoSpaceDN w:val="0"/>
      <w:adjustRightInd w:val="0"/>
      <w:spacing w:line="283" w:lineRule="atLeast"/>
      <w:ind w:left="459" w:hanging="651"/>
    </w:pPr>
    <w:rPr>
      <w:rFonts w:ascii="Arial" w:hAnsi="Arial" w:cs="Arial"/>
      <w:szCs w:val="24"/>
      <w:lang w:val="en-US" w:eastAsia="en-US"/>
    </w:rPr>
  </w:style>
  <w:style w:type="paragraph" w:customStyle="1" w:styleId="TxBrp7">
    <w:name w:val="TxBr_p7"/>
    <w:basedOn w:val="Normal"/>
    <w:rsid w:val="006E7060"/>
    <w:pPr>
      <w:widowControl w:val="0"/>
      <w:autoSpaceDE w:val="0"/>
      <w:autoSpaceDN w:val="0"/>
      <w:adjustRightInd w:val="0"/>
      <w:spacing w:line="283" w:lineRule="atLeast"/>
      <w:ind w:left="459"/>
    </w:pPr>
    <w:rPr>
      <w:rFonts w:ascii="Arial" w:hAnsi="Arial" w:cs="Arial"/>
      <w:szCs w:val="24"/>
      <w:lang w:val="en-US" w:eastAsia="en-US"/>
    </w:rPr>
  </w:style>
  <w:style w:type="paragraph" w:customStyle="1" w:styleId="TxBrp11">
    <w:name w:val="TxBr_p11"/>
    <w:basedOn w:val="Normal"/>
    <w:rsid w:val="006E7060"/>
    <w:pPr>
      <w:widowControl w:val="0"/>
      <w:tabs>
        <w:tab w:val="left" w:pos="657"/>
      </w:tabs>
      <w:autoSpaceDE w:val="0"/>
      <w:autoSpaceDN w:val="0"/>
      <w:adjustRightInd w:val="0"/>
      <w:spacing w:line="266" w:lineRule="atLeast"/>
      <w:ind w:left="454" w:hanging="657"/>
    </w:pPr>
    <w:rPr>
      <w:rFonts w:ascii="Arial" w:hAnsi="Arial" w:cs="Arial"/>
      <w:szCs w:val="24"/>
      <w:lang w:val="en-US" w:eastAsia="en-US"/>
    </w:rPr>
  </w:style>
  <w:style w:type="paragraph" w:customStyle="1" w:styleId="ColorfulList-Accent11">
    <w:name w:val="Colorful List - Accent 11"/>
    <w:basedOn w:val="Normal"/>
    <w:uiPriority w:val="34"/>
    <w:qFormat/>
    <w:rsid w:val="00AF3C49"/>
    <w:pPr>
      <w:ind w:left="720"/>
    </w:pPr>
  </w:style>
  <w:style w:type="paragraph" w:styleId="Header">
    <w:name w:val="header"/>
    <w:basedOn w:val="Normal"/>
    <w:link w:val="HeaderChar"/>
    <w:rsid w:val="00485897"/>
    <w:pPr>
      <w:tabs>
        <w:tab w:val="center" w:pos="4513"/>
        <w:tab w:val="right" w:pos="9026"/>
      </w:tabs>
    </w:pPr>
    <w:rPr>
      <w:lang w:val="x-none" w:eastAsia="x-none"/>
    </w:rPr>
  </w:style>
  <w:style w:type="character" w:customStyle="1" w:styleId="HeaderChar">
    <w:name w:val="Header Char"/>
    <w:link w:val="Header"/>
    <w:uiPriority w:val="99"/>
    <w:rsid w:val="00485897"/>
    <w:rPr>
      <w:rFonts w:ascii="Calibri" w:hAnsi="Calibri"/>
      <w:sz w:val="24"/>
    </w:rPr>
  </w:style>
  <w:style w:type="paragraph" w:styleId="Footer">
    <w:name w:val="footer"/>
    <w:basedOn w:val="Normal"/>
    <w:link w:val="FooterChar"/>
    <w:uiPriority w:val="99"/>
    <w:rsid w:val="00485897"/>
    <w:pPr>
      <w:tabs>
        <w:tab w:val="center" w:pos="4513"/>
        <w:tab w:val="right" w:pos="9026"/>
      </w:tabs>
    </w:pPr>
    <w:rPr>
      <w:lang w:val="x-none" w:eastAsia="x-none"/>
    </w:rPr>
  </w:style>
  <w:style w:type="character" w:customStyle="1" w:styleId="FooterChar">
    <w:name w:val="Footer Char"/>
    <w:link w:val="Footer"/>
    <w:uiPriority w:val="99"/>
    <w:rsid w:val="00485897"/>
    <w:rPr>
      <w:rFonts w:ascii="Calibri" w:hAnsi="Calibri"/>
      <w:sz w:val="24"/>
    </w:rPr>
  </w:style>
  <w:style w:type="character" w:styleId="Emphasis">
    <w:name w:val="Emphasis"/>
    <w:qFormat/>
    <w:rsid w:val="00A41A08"/>
    <w:rPr>
      <w:i/>
      <w:iCs/>
    </w:rPr>
  </w:style>
  <w:style w:type="character" w:styleId="Strong">
    <w:name w:val="Strong"/>
    <w:qFormat/>
    <w:rsid w:val="00E56196"/>
    <w:rPr>
      <w:b/>
      <w:bCs/>
    </w:rPr>
  </w:style>
  <w:style w:type="paragraph" w:styleId="Subtitle">
    <w:name w:val="Subtitle"/>
    <w:basedOn w:val="Normal"/>
    <w:next w:val="Normal"/>
    <w:link w:val="SubtitleChar"/>
    <w:qFormat/>
    <w:rsid w:val="00E56196"/>
    <w:pPr>
      <w:spacing w:after="60"/>
      <w:jc w:val="center"/>
      <w:outlineLvl w:val="1"/>
    </w:pPr>
    <w:rPr>
      <w:rFonts w:ascii="Cambria" w:hAnsi="Cambria"/>
      <w:szCs w:val="24"/>
      <w:lang w:val="x-none" w:eastAsia="x-none"/>
    </w:rPr>
  </w:style>
  <w:style w:type="character" w:customStyle="1" w:styleId="SubtitleChar">
    <w:name w:val="Subtitle Char"/>
    <w:link w:val="Subtitle"/>
    <w:rsid w:val="00E56196"/>
    <w:rPr>
      <w:rFonts w:ascii="Cambria" w:hAnsi="Cambria"/>
      <w:sz w:val="24"/>
      <w:szCs w:val="24"/>
      <w:lang w:val="x-none" w:eastAsia="x-none"/>
    </w:rPr>
  </w:style>
  <w:style w:type="paragraph" w:styleId="Title">
    <w:name w:val="Title"/>
    <w:basedOn w:val="Normal-unumbered"/>
    <w:next w:val="Normal"/>
    <w:link w:val="TitleChar"/>
    <w:qFormat/>
    <w:rsid w:val="005349C4"/>
    <w:pPr>
      <w:spacing w:after="240"/>
    </w:pPr>
    <w:rPr>
      <w:b/>
      <w:noProof/>
    </w:rPr>
  </w:style>
  <w:style w:type="character" w:customStyle="1" w:styleId="TitleChar">
    <w:name w:val="Title Char"/>
    <w:link w:val="Title"/>
    <w:rsid w:val="005349C4"/>
    <w:rPr>
      <w:rFonts w:ascii="Calibri" w:hAnsi="Calibri"/>
      <w:b/>
      <w:noProof/>
      <w:sz w:val="24"/>
    </w:rPr>
  </w:style>
  <w:style w:type="paragraph" w:customStyle="1" w:styleId="MediumGrid21">
    <w:name w:val="Medium Grid 21"/>
    <w:uiPriority w:val="1"/>
    <w:qFormat/>
    <w:rsid w:val="00E56196"/>
    <w:pPr>
      <w:ind w:left="720" w:hanging="720"/>
      <w:contextualSpacing/>
      <w:jc w:val="both"/>
    </w:pPr>
    <w:rPr>
      <w:rFonts w:ascii="Calibri" w:hAnsi="Calibri"/>
      <w:sz w:val="24"/>
    </w:rPr>
  </w:style>
  <w:style w:type="paragraph" w:styleId="ListParagraph">
    <w:name w:val="List Paragraph"/>
    <w:basedOn w:val="Normal"/>
    <w:uiPriority w:val="34"/>
    <w:qFormat/>
    <w:rsid w:val="00861411"/>
    <w:pPr>
      <w:spacing w:after="200" w:line="276" w:lineRule="auto"/>
      <w:ind w:left="792" w:hanging="432"/>
      <w:jc w:val="left"/>
    </w:pPr>
    <w:rPr>
      <w:rFonts w:eastAsia="Calibri"/>
      <w:sz w:val="22"/>
      <w:szCs w:val="22"/>
      <w:lang w:eastAsia="en-US"/>
    </w:rPr>
  </w:style>
  <w:style w:type="paragraph" w:customStyle="1" w:styleId="Normal-unumbered">
    <w:name w:val="Normal - unumbered"/>
    <w:basedOn w:val="Normal"/>
    <w:link w:val="Normal-unumberedChar"/>
    <w:qFormat/>
    <w:rsid w:val="005144E9"/>
    <w:pPr>
      <w:numPr>
        <w:ilvl w:val="0"/>
        <w:numId w:val="0"/>
      </w:numPr>
      <w:ind w:left="720" w:hanging="720"/>
    </w:pPr>
    <w:rPr>
      <w:lang w:val="x-none" w:eastAsia="x-none"/>
    </w:rPr>
  </w:style>
  <w:style w:type="paragraph" w:customStyle="1" w:styleId="CommitteeBody">
    <w:name w:val="Committee Body"/>
    <w:rsid w:val="00947856"/>
    <w:pPr>
      <w:numPr>
        <w:numId w:val="4"/>
      </w:numPr>
      <w:spacing w:after="120"/>
      <w:jc w:val="both"/>
    </w:pPr>
    <w:rPr>
      <w:rFonts w:ascii="Arial" w:hAnsi="Arial"/>
      <w:sz w:val="24"/>
    </w:rPr>
  </w:style>
  <w:style w:type="character" w:customStyle="1" w:styleId="Normal-unumberedChar">
    <w:name w:val="Normal - unumbered Char"/>
    <w:link w:val="Normal-unumbered"/>
    <w:rsid w:val="005144E9"/>
    <w:rPr>
      <w:rFonts w:ascii="Calibri" w:hAnsi="Calibri"/>
      <w:sz w:val="24"/>
    </w:rPr>
  </w:style>
  <w:style w:type="paragraph" w:styleId="EndnoteText">
    <w:name w:val="endnote text"/>
    <w:basedOn w:val="Normal"/>
    <w:link w:val="EndnoteTextChar"/>
    <w:uiPriority w:val="99"/>
    <w:unhideWhenUsed/>
    <w:rsid w:val="009F3437"/>
    <w:pPr>
      <w:numPr>
        <w:ilvl w:val="0"/>
        <w:numId w:val="0"/>
      </w:numPr>
      <w:autoSpaceDE w:val="0"/>
      <w:autoSpaceDN w:val="0"/>
      <w:adjustRightInd w:val="0"/>
      <w:spacing w:after="0"/>
      <w:ind w:left="709" w:hanging="709"/>
    </w:pPr>
    <w:rPr>
      <w:rFonts w:ascii="Arial" w:hAnsi="Arial" w:cs="Arial"/>
      <w:sz w:val="20"/>
    </w:rPr>
  </w:style>
  <w:style w:type="character" w:customStyle="1" w:styleId="EndnoteTextChar">
    <w:name w:val="Endnote Text Char"/>
    <w:link w:val="EndnoteText"/>
    <w:uiPriority w:val="99"/>
    <w:rsid w:val="009F3437"/>
    <w:rPr>
      <w:rFonts w:ascii="Arial" w:hAnsi="Arial" w:cs="Arial"/>
    </w:rPr>
  </w:style>
  <w:style w:type="character" w:styleId="CommentReference">
    <w:name w:val="annotation reference"/>
    <w:rsid w:val="000F364E"/>
    <w:rPr>
      <w:sz w:val="16"/>
      <w:szCs w:val="16"/>
    </w:rPr>
  </w:style>
  <w:style w:type="paragraph" w:styleId="CommentText">
    <w:name w:val="annotation text"/>
    <w:basedOn w:val="Normal"/>
    <w:link w:val="CommentTextChar"/>
    <w:rsid w:val="000F364E"/>
    <w:rPr>
      <w:sz w:val="20"/>
    </w:rPr>
  </w:style>
  <w:style w:type="character" w:customStyle="1" w:styleId="CommentTextChar">
    <w:name w:val="Comment Text Char"/>
    <w:link w:val="CommentText"/>
    <w:rsid w:val="000F364E"/>
    <w:rPr>
      <w:rFonts w:ascii="Calibri" w:hAnsi="Calibri"/>
    </w:rPr>
  </w:style>
  <w:style w:type="paragraph" w:customStyle="1" w:styleId="bullet">
    <w:name w:val="bullet"/>
    <w:basedOn w:val="Normal"/>
    <w:link w:val="bulletChar"/>
    <w:qFormat/>
    <w:rsid w:val="002F0A93"/>
    <w:pPr>
      <w:numPr>
        <w:ilvl w:val="0"/>
        <w:numId w:val="7"/>
      </w:numPr>
      <w:autoSpaceDE w:val="0"/>
      <w:autoSpaceDN w:val="0"/>
      <w:adjustRightInd w:val="0"/>
      <w:spacing w:after="0"/>
    </w:pPr>
    <w:rPr>
      <w:rFonts w:ascii="Arial" w:hAnsi="Arial"/>
      <w:szCs w:val="24"/>
      <w:lang w:val="x-none" w:eastAsia="x-none"/>
    </w:rPr>
  </w:style>
  <w:style w:type="character" w:customStyle="1" w:styleId="bulletChar">
    <w:name w:val="bullet Char"/>
    <w:link w:val="bullet"/>
    <w:rsid w:val="002F0A93"/>
    <w:rPr>
      <w:rFonts w:ascii="Arial" w:hAnsi="Arial"/>
      <w:sz w:val="24"/>
      <w:szCs w:val="24"/>
      <w:lang w:val="x-none" w:eastAsia="x-none"/>
    </w:rPr>
  </w:style>
  <w:style w:type="paragraph" w:styleId="CommentSubject">
    <w:name w:val="annotation subject"/>
    <w:basedOn w:val="CommentText"/>
    <w:next w:val="CommentText"/>
    <w:link w:val="CommentSubjectChar"/>
    <w:rsid w:val="00E0016E"/>
    <w:rPr>
      <w:b/>
      <w:bCs/>
    </w:rPr>
  </w:style>
  <w:style w:type="character" w:customStyle="1" w:styleId="CommentSubjectChar">
    <w:name w:val="Comment Subject Char"/>
    <w:link w:val="CommentSubject"/>
    <w:rsid w:val="00E0016E"/>
    <w:rPr>
      <w:rFonts w:ascii="Calibri" w:hAnsi="Calibri"/>
      <w:b/>
      <w:bCs/>
    </w:rPr>
  </w:style>
  <w:style w:type="paragraph" w:styleId="Revision">
    <w:name w:val="Revision"/>
    <w:hidden/>
    <w:uiPriority w:val="99"/>
    <w:semiHidden/>
    <w:rsid w:val="0001796A"/>
    <w:rPr>
      <w:rFonts w:ascii="Calibri" w:hAnsi="Calibri"/>
      <w:sz w:val="24"/>
    </w:rPr>
  </w:style>
  <w:style w:type="paragraph" w:styleId="FootnoteText">
    <w:name w:val="footnote text"/>
    <w:basedOn w:val="Normal"/>
    <w:link w:val="FootnoteTextChar"/>
    <w:uiPriority w:val="99"/>
    <w:rsid w:val="00B77716"/>
    <w:rPr>
      <w:sz w:val="20"/>
    </w:rPr>
  </w:style>
  <w:style w:type="character" w:customStyle="1" w:styleId="FootnoteTextChar">
    <w:name w:val="Footnote Text Char"/>
    <w:link w:val="FootnoteText"/>
    <w:uiPriority w:val="99"/>
    <w:rsid w:val="00B77716"/>
    <w:rPr>
      <w:rFonts w:ascii="Calibri" w:hAnsi="Calibri"/>
    </w:rPr>
  </w:style>
  <w:style w:type="character" w:styleId="FootnoteReference">
    <w:name w:val="footnote reference"/>
    <w:uiPriority w:val="99"/>
    <w:rsid w:val="00B77716"/>
    <w:rPr>
      <w:vertAlign w:val="superscript"/>
    </w:rPr>
  </w:style>
  <w:style w:type="character" w:styleId="EndnoteReference">
    <w:name w:val="endnote reference"/>
    <w:rsid w:val="00B777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6193">
      <w:bodyDiv w:val="1"/>
      <w:marLeft w:val="0"/>
      <w:marRight w:val="0"/>
      <w:marTop w:val="0"/>
      <w:marBottom w:val="0"/>
      <w:divBdr>
        <w:top w:val="none" w:sz="0" w:space="0" w:color="auto"/>
        <w:left w:val="none" w:sz="0" w:space="0" w:color="auto"/>
        <w:bottom w:val="none" w:sz="0" w:space="0" w:color="auto"/>
        <w:right w:val="none" w:sz="0" w:space="0" w:color="auto"/>
      </w:divBdr>
    </w:div>
    <w:div w:id="153885581">
      <w:bodyDiv w:val="1"/>
      <w:marLeft w:val="0"/>
      <w:marRight w:val="0"/>
      <w:marTop w:val="0"/>
      <w:marBottom w:val="0"/>
      <w:divBdr>
        <w:top w:val="none" w:sz="0" w:space="0" w:color="auto"/>
        <w:left w:val="none" w:sz="0" w:space="0" w:color="auto"/>
        <w:bottom w:val="none" w:sz="0" w:space="0" w:color="auto"/>
        <w:right w:val="none" w:sz="0" w:space="0" w:color="auto"/>
      </w:divBdr>
    </w:div>
    <w:div w:id="154271784">
      <w:bodyDiv w:val="1"/>
      <w:marLeft w:val="0"/>
      <w:marRight w:val="0"/>
      <w:marTop w:val="0"/>
      <w:marBottom w:val="0"/>
      <w:divBdr>
        <w:top w:val="none" w:sz="0" w:space="0" w:color="auto"/>
        <w:left w:val="none" w:sz="0" w:space="0" w:color="auto"/>
        <w:bottom w:val="none" w:sz="0" w:space="0" w:color="auto"/>
        <w:right w:val="none" w:sz="0" w:space="0" w:color="auto"/>
      </w:divBdr>
    </w:div>
    <w:div w:id="170223181">
      <w:bodyDiv w:val="1"/>
      <w:marLeft w:val="0"/>
      <w:marRight w:val="0"/>
      <w:marTop w:val="0"/>
      <w:marBottom w:val="0"/>
      <w:divBdr>
        <w:top w:val="none" w:sz="0" w:space="0" w:color="auto"/>
        <w:left w:val="none" w:sz="0" w:space="0" w:color="auto"/>
        <w:bottom w:val="none" w:sz="0" w:space="0" w:color="auto"/>
        <w:right w:val="none" w:sz="0" w:space="0" w:color="auto"/>
      </w:divBdr>
    </w:div>
    <w:div w:id="201720741">
      <w:bodyDiv w:val="1"/>
      <w:marLeft w:val="0"/>
      <w:marRight w:val="0"/>
      <w:marTop w:val="0"/>
      <w:marBottom w:val="0"/>
      <w:divBdr>
        <w:top w:val="none" w:sz="0" w:space="0" w:color="auto"/>
        <w:left w:val="none" w:sz="0" w:space="0" w:color="auto"/>
        <w:bottom w:val="none" w:sz="0" w:space="0" w:color="auto"/>
        <w:right w:val="none" w:sz="0" w:space="0" w:color="auto"/>
      </w:divBdr>
    </w:div>
    <w:div w:id="218712338">
      <w:bodyDiv w:val="1"/>
      <w:marLeft w:val="0"/>
      <w:marRight w:val="0"/>
      <w:marTop w:val="0"/>
      <w:marBottom w:val="0"/>
      <w:divBdr>
        <w:top w:val="none" w:sz="0" w:space="0" w:color="auto"/>
        <w:left w:val="none" w:sz="0" w:space="0" w:color="auto"/>
        <w:bottom w:val="none" w:sz="0" w:space="0" w:color="auto"/>
        <w:right w:val="none" w:sz="0" w:space="0" w:color="auto"/>
      </w:divBdr>
    </w:div>
    <w:div w:id="241375572">
      <w:bodyDiv w:val="1"/>
      <w:marLeft w:val="0"/>
      <w:marRight w:val="0"/>
      <w:marTop w:val="0"/>
      <w:marBottom w:val="0"/>
      <w:divBdr>
        <w:top w:val="none" w:sz="0" w:space="0" w:color="auto"/>
        <w:left w:val="none" w:sz="0" w:space="0" w:color="auto"/>
        <w:bottom w:val="none" w:sz="0" w:space="0" w:color="auto"/>
        <w:right w:val="none" w:sz="0" w:space="0" w:color="auto"/>
      </w:divBdr>
    </w:div>
    <w:div w:id="308050694">
      <w:bodyDiv w:val="1"/>
      <w:marLeft w:val="0"/>
      <w:marRight w:val="0"/>
      <w:marTop w:val="0"/>
      <w:marBottom w:val="0"/>
      <w:divBdr>
        <w:top w:val="none" w:sz="0" w:space="0" w:color="auto"/>
        <w:left w:val="none" w:sz="0" w:space="0" w:color="auto"/>
        <w:bottom w:val="none" w:sz="0" w:space="0" w:color="auto"/>
        <w:right w:val="none" w:sz="0" w:space="0" w:color="auto"/>
      </w:divBdr>
    </w:div>
    <w:div w:id="324430940">
      <w:bodyDiv w:val="1"/>
      <w:marLeft w:val="0"/>
      <w:marRight w:val="0"/>
      <w:marTop w:val="0"/>
      <w:marBottom w:val="0"/>
      <w:divBdr>
        <w:top w:val="none" w:sz="0" w:space="0" w:color="auto"/>
        <w:left w:val="none" w:sz="0" w:space="0" w:color="auto"/>
        <w:bottom w:val="none" w:sz="0" w:space="0" w:color="auto"/>
        <w:right w:val="none" w:sz="0" w:space="0" w:color="auto"/>
      </w:divBdr>
    </w:div>
    <w:div w:id="392388927">
      <w:bodyDiv w:val="1"/>
      <w:marLeft w:val="0"/>
      <w:marRight w:val="0"/>
      <w:marTop w:val="0"/>
      <w:marBottom w:val="0"/>
      <w:divBdr>
        <w:top w:val="none" w:sz="0" w:space="0" w:color="auto"/>
        <w:left w:val="none" w:sz="0" w:space="0" w:color="auto"/>
        <w:bottom w:val="none" w:sz="0" w:space="0" w:color="auto"/>
        <w:right w:val="none" w:sz="0" w:space="0" w:color="auto"/>
      </w:divBdr>
    </w:div>
    <w:div w:id="414714213">
      <w:bodyDiv w:val="1"/>
      <w:marLeft w:val="0"/>
      <w:marRight w:val="0"/>
      <w:marTop w:val="0"/>
      <w:marBottom w:val="0"/>
      <w:divBdr>
        <w:top w:val="none" w:sz="0" w:space="0" w:color="auto"/>
        <w:left w:val="none" w:sz="0" w:space="0" w:color="auto"/>
        <w:bottom w:val="none" w:sz="0" w:space="0" w:color="auto"/>
        <w:right w:val="none" w:sz="0" w:space="0" w:color="auto"/>
      </w:divBdr>
    </w:div>
    <w:div w:id="426386517">
      <w:bodyDiv w:val="1"/>
      <w:marLeft w:val="0"/>
      <w:marRight w:val="0"/>
      <w:marTop w:val="0"/>
      <w:marBottom w:val="0"/>
      <w:divBdr>
        <w:top w:val="none" w:sz="0" w:space="0" w:color="auto"/>
        <w:left w:val="none" w:sz="0" w:space="0" w:color="auto"/>
        <w:bottom w:val="none" w:sz="0" w:space="0" w:color="auto"/>
        <w:right w:val="none" w:sz="0" w:space="0" w:color="auto"/>
      </w:divBdr>
    </w:div>
    <w:div w:id="451243463">
      <w:bodyDiv w:val="1"/>
      <w:marLeft w:val="0"/>
      <w:marRight w:val="0"/>
      <w:marTop w:val="0"/>
      <w:marBottom w:val="0"/>
      <w:divBdr>
        <w:top w:val="none" w:sz="0" w:space="0" w:color="auto"/>
        <w:left w:val="none" w:sz="0" w:space="0" w:color="auto"/>
        <w:bottom w:val="none" w:sz="0" w:space="0" w:color="auto"/>
        <w:right w:val="none" w:sz="0" w:space="0" w:color="auto"/>
      </w:divBdr>
    </w:div>
    <w:div w:id="516501074">
      <w:bodyDiv w:val="1"/>
      <w:marLeft w:val="0"/>
      <w:marRight w:val="0"/>
      <w:marTop w:val="0"/>
      <w:marBottom w:val="0"/>
      <w:divBdr>
        <w:top w:val="none" w:sz="0" w:space="0" w:color="auto"/>
        <w:left w:val="none" w:sz="0" w:space="0" w:color="auto"/>
        <w:bottom w:val="none" w:sz="0" w:space="0" w:color="auto"/>
        <w:right w:val="none" w:sz="0" w:space="0" w:color="auto"/>
      </w:divBdr>
    </w:div>
    <w:div w:id="639306364">
      <w:bodyDiv w:val="1"/>
      <w:marLeft w:val="0"/>
      <w:marRight w:val="0"/>
      <w:marTop w:val="0"/>
      <w:marBottom w:val="0"/>
      <w:divBdr>
        <w:top w:val="none" w:sz="0" w:space="0" w:color="auto"/>
        <w:left w:val="none" w:sz="0" w:space="0" w:color="auto"/>
        <w:bottom w:val="none" w:sz="0" w:space="0" w:color="auto"/>
        <w:right w:val="none" w:sz="0" w:space="0" w:color="auto"/>
      </w:divBdr>
    </w:div>
    <w:div w:id="754203166">
      <w:bodyDiv w:val="1"/>
      <w:marLeft w:val="0"/>
      <w:marRight w:val="0"/>
      <w:marTop w:val="0"/>
      <w:marBottom w:val="0"/>
      <w:divBdr>
        <w:top w:val="none" w:sz="0" w:space="0" w:color="auto"/>
        <w:left w:val="none" w:sz="0" w:space="0" w:color="auto"/>
        <w:bottom w:val="none" w:sz="0" w:space="0" w:color="auto"/>
        <w:right w:val="none" w:sz="0" w:space="0" w:color="auto"/>
      </w:divBdr>
    </w:div>
    <w:div w:id="763720070">
      <w:bodyDiv w:val="1"/>
      <w:marLeft w:val="0"/>
      <w:marRight w:val="0"/>
      <w:marTop w:val="0"/>
      <w:marBottom w:val="0"/>
      <w:divBdr>
        <w:top w:val="none" w:sz="0" w:space="0" w:color="auto"/>
        <w:left w:val="none" w:sz="0" w:space="0" w:color="auto"/>
        <w:bottom w:val="none" w:sz="0" w:space="0" w:color="auto"/>
        <w:right w:val="none" w:sz="0" w:space="0" w:color="auto"/>
      </w:divBdr>
    </w:div>
    <w:div w:id="765661923">
      <w:bodyDiv w:val="1"/>
      <w:marLeft w:val="0"/>
      <w:marRight w:val="0"/>
      <w:marTop w:val="0"/>
      <w:marBottom w:val="0"/>
      <w:divBdr>
        <w:top w:val="none" w:sz="0" w:space="0" w:color="auto"/>
        <w:left w:val="none" w:sz="0" w:space="0" w:color="auto"/>
        <w:bottom w:val="none" w:sz="0" w:space="0" w:color="auto"/>
        <w:right w:val="none" w:sz="0" w:space="0" w:color="auto"/>
      </w:divBdr>
    </w:div>
    <w:div w:id="797260597">
      <w:bodyDiv w:val="1"/>
      <w:marLeft w:val="0"/>
      <w:marRight w:val="0"/>
      <w:marTop w:val="0"/>
      <w:marBottom w:val="0"/>
      <w:divBdr>
        <w:top w:val="none" w:sz="0" w:space="0" w:color="auto"/>
        <w:left w:val="none" w:sz="0" w:space="0" w:color="auto"/>
        <w:bottom w:val="none" w:sz="0" w:space="0" w:color="auto"/>
        <w:right w:val="none" w:sz="0" w:space="0" w:color="auto"/>
      </w:divBdr>
    </w:div>
    <w:div w:id="813183968">
      <w:bodyDiv w:val="1"/>
      <w:marLeft w:val="0"/>
      <w:marRight w:val="0"/>
      <w:marTop w:val="0"/>
      <w:marBottom w:val="0"/>
      <w:divBdr>
        <w:top w:val="none" w:sz="0" w:space="0" w:color="auto"/>
        <w:left w:val="none" w:sz="0" w:space="0" w:color="auto"/>
        <w:bottom w:val="none" w:sz="0" w:space="0" w:color="auto"/>
        <w:right w:val="none" w:sz="0" w:space="0" w:color="auto"/>
      </w:divBdr>
    </w:div>
    <w:div w:id="841359438">
      <w:bodyDiv w:val="1"/>
      <w:marLeft w:val="0"/>
      <w:marRight w:val="0"/>
      <w:marTop w:val="0"/>
      <w:marBottom w:val="0"/>
      <w:divBdr>
        <w:top w:val="none" w:sz="0" w:space="0" w:color="auto"/>
        <w:left w:val="none" w:sz="0" w:space="0" w:color="auto"/>
        <w:bottom w:val="none" w:sz="0" w:space="0" w:color="auto"/>
        <w:right w:val="none" w:sz="0" w:space="0" w:color="auto"/>
      </w:divBdr>
    </w:div>
    <w:div w:id="873883042">
      <w:bodyDiv w:val="1"/>
      <w:marLeft w:val="0"/>
      <w:marRight w:val="0"/>
      <w:marTop w:val="0"/>
      <w:marBottom w:val="0"/>
      <w:divBdr>
        <w:top w:val="none" w:sz="0" w:space="0" w:color="auto"/>
        <w:left w:val="none" w:sz="0" w:space="0" w:color="auto"/>
        <w:bottom w:val="none" w:sz="0" w:space="0" w:color="auto"/>
        <w:right w:val="none" w:sz="0" w:space="0" w:color="auto"/>
      </w:divBdr>
    </w:div>
    <w:div w:id="932711331">
      <w:bodyDiv w:val="1"/>
      <w:marLeft w:val="0"/>
      <w:marRight w:val="0"/>
      <w:marTop w:val="0"/>
      <w:marBottom w:val="0"/>
      <w:divBdr>
        <w:top w:val="none" w:sz="0" w:space="0" w:color="auto"/>
        <w:left w:val="none" w:sz="0" w:space="0" w:color="auto"/>
        <w:bottom w:val="none" w:sz="0" w:space="0" w:color="auto"/>
        <w:right w:val="none" w:sz="0" w:space="0" w:color="auto"/>
      </w:divBdr>
    </w:div>
    <w:div w:id="980159541">
      <w:bodyDiv w:val="1"/>
      <w:marLeft w:val="0"/>
      <w:marRight w:val="0"/>
      <w:marTop w:val="0"/>
      <w:marBottom w:val="0"/>
      <w:divBdr>
        <w:top w:val="none" w:sz="0" w:space="0" w:color="auto"/>
        <w:left w:val="none" w:sz="0" w:space="0" w:color="auto"/>
        <w:bottom w:val="none" w:sz="0" w:space="0" w:color="auto"/>
        <w:right w:val="none" w:sz="0" w:space="0" w:color="auto"/>
      </w:divBdr>
    </w:div>
    <w:div w:id="1152674240">
      <w:bodyDiv w:val="1"/>
      <w:marLeft w:val="0"/>
      <w:marRight w:val="0"/>
      <w:marTop w:val="0"/>
      <w:marBottom w:val="0"/>
      <w:divBdr>
        <w:top w:val="none" w:sz="0" w:space="0" w:color="auto"/>
        <w:left w:val="none" w:sz="0" w:space="0" w:color="auto"/>
        <w:bottom w:val="none" w:sz="0" w:space="0" w:color="auto"/>
        <w:right w:val="none" w:sz="0" w:space="0" w:color="auto"/>
      </w:divBdr>
    </w:div>
    <w:div w:id="1228997851">
      <w:bodyDiv w:val="1"/>
      <w:marLeft w:val="0"/>
      <w:marRight w:val="0"/>
      <w:marTop w:val="0"/>
      <w:marBottom w:val="0"/>
      <w:divBdr>
        <w:top w:val="none" w:sz="0" w:space="0" w:color="auto"/>
        <w:left w:val="none" w:sz="0" w:space="0" w:color="auto"/>
        <w:bottom w:val="none" w:sz="0" w:space="0" w:color="auto"/>
        <w:right w:val="none" w:sz="0" w:space="0" w:color="auto"/>
      </w:divBdr>
    </w:div>
    <w:div w:id="1349407078">
      <w:bodyDiv w:val="1"/>
      <w:marLeft w:val="0"/>
      <w:marRight w:val="0"/>
      <w:marTop w:val="0"/>
      <w:marBottom w:val="0"/>
      <w:divBdr>
        <w:top w:val="none" w:sz="0" w:space="0" w:color="auto"/>
        <w:left w:val="none" w:sz="0" w:space="0" w:color="auto"/>
        <w:bottom w:val="none" w:sz="0" w:space="0" w:color="auto"/>
        <w:right w:val="none" w:sz="0" w:space="0" w:color="auto"/>
      </w:divBdr>
    </w:div>
    <w:div w:id="1352074656">
      <w:bodyDiv w:val="1"/>
      <w:marLeft w:val="0"/>
      <w:marRight w:val="0"/>
      <w:marTop w:val="0"/>
      <w:marBottom w:val="0"/>
      <w:divBdr>
        <w:top w:val="none" w:sz="0" w:space="0" w:color="auto"/>
        <w:left w:val="none" w:sz="0" w:space="0" w:color="auto"/>
        <w:bottom w:val="none" w:sz="0" w:space="0" w:color="auto"/>
        <w:right w:val="none" w:sz="0" w:space="0" w:color="auto"/>
      </w:divBdr>
    </w:div>
    <w:div w:id="1425960612">
      <w:bodyDiv w:val="1"/>
      <w:marLeft w:val="0"/>
      <w:marRight w:val="0"/>
      <w:marTop w:val="0"/>
      <w:marBottom w:val="0"/>
      <w:divBdr>
        <w:top w:val="none" w:sz="0" w:space="0" w:color="auto"/>
        <w:left w:val="none" w:sz="0" w:space="0" w:color="auto"/>
        <w:bottom w:val="none" w:sz="0" w:space="0" w:color="auto"/>
        <w:right w:val="none" w:sz="0" w:space="0" w:color="auto"/>
      </w:divBdr>
    </w:div>
    <w:div w:id="1435323121">
      <w:bodyDiv w:val="1"/>
      <w:marLeft w:val="0"/>
      <w:marRight w:val="0"/>
      <w:marTop w:val="0"/>
      <w:marBottom w:val="0"/>
      <w:divBdr>
        <w:top w:val="none" w:sz="0" w:space="0" w:color="auto"/>
        <w:left w:val="none" w:sz="0" w:space="0" w:color="auto"/>
        <w:bottom w:val="none" w:sz="0" w:space="0" w:color="auto"/>
        <w:right w:val="none" w:sz="0" w:space="0" w:color="auto"/>
      </w:divBdr>
    </w:div>
    <w:div w:id="1571228493">
      <w:bodyDiv w:val="1"/>
      <w:marLeft w:val="0"/>
      <w:marRight w:val="0"/>
      <w:marTop w:val="0"/>
      <w:marBottom w:val="0"/>
      <w:divBdr>
        <w:top w:val="none" w:sz="0" w:space="0" w:color="auto"/>
        <w:left w:val="none" w:sz="0" w:space="0" w:color="auto"/>
        <w:bottom w:val="none" w:sz="0" w:space="0" w:color="auto"/>
        <w:right w:val="none" w:sz="0" w:space="0" w:color="auto"/>
      </w:divBdr>
    </w:div>
    <w:div w:id="1666862507">
      <w:bodyDiv w:val="1"/>
      <w:marLeft w:val="0"/>
      <w:marRight w:val="0"/>
      <w:marTop w:val="0"/>
      <w:marBottom w:val="0"/>
      <w:divBdr>
        <w:top w:val="none" w:sz="0" w:space="0" w:color="auto"/>
        <w:left w:val="none" w:sz="0" w:space="0" w:color="auto"/>
        <w:bottom w:val="none" w:sz="0" w:space="0" w:color="auto"/>
        <w:right w:val="none" w:sz="0" w:space="0" w:color="auto"/>
      </w:divBdr>
    </w:div>
    <w:div w:id="1678269686">
      <w:bodyDiv w:val="1"/>
      <w:marLeft w:val="0"/>
      <w:marRight w:val="0"/>
      <w:marTop w:val="0"/>
      <w:marBottom w:val="0"/>
      <w:divBdr>
        <w:top w:val="none" w:sz="0" w:space="0" w:color="auto"/>
        <w:left w:val="none" w:sz="0" w:space="0" w:color="auto"/>
        <w:bottom w:val="none" w:sz="0" w:space="0" w:color="auto"/>
        <w:right w:val="none" w:sz="0" w:space="0" w:color="auto"/>
      </w:divBdr>
    </w:div>
    <w:div w:id="1777367801">
      <w:bodyDiv w:val="1"/>
      <w:marLeft w:val="0"/>
      <w:marRight w:val="0"/>
      <w:marTop w:val="0"/>
      <w:marBottom w:val="0"/>
      <w:divBdr>
        <w:top w:val="none" w:sz="0" w:space="0" w:color="auto"/>
        <w:left w:val="none" w:sz="0" w:space="0" w:color="auto"/>
        <w:bottom w:val="none" w:sz="0" w:space="0" w:color="auto"/>
        <w:right w:val="none" w:sz="0" w:space="0" w:color="auto"/>
      </w:divBdr>
    </w:div>
    <w:div w:id="1951232252">
      <w:bodyDiv w:val="1"/>
      <w:marLeft w:val="0"/>
      <w:marRight w:val="0"/>
      <w:marTop w:val="0"/>
      <w:marBottom w:val="0"/>
      <w:divBdr>
        <w:top w:val="none" w:sz="0" w:space="0" w:color="auto"/>
        <w:left w:val="none" w:sz="0" w:space="0" w:color="auto"/>
        <w:bottom w:val="none" w:sz="0" w:space="0" w:color="auto"/>
        <w:right w:val="none" w:sz="0" w:space="0" w:color="auto"/>
      </w:divBdr>
    </w:div>
    <w:div w:id="2000688413">
      <w:bodyDiv w:val="1"/>
      <w:marLeft w:val="0"/>
      <w:marRight w:val="0"/>
      <w:marTop w:val="0"/>
      <w:marBottom w:val="0"/>
      <w:divBdr>
        <w:top w:val="none" w:sz="0" w:space="0" w:color="auto"/>
        <w:left w:val="none" w:sz="0" w:space="0" w:color="auto"/>
        <w:bottom w:val="none" w:sz="0" w:space="0" w:color="auto"/>
        <w:right w:val="none" w:sz="0" w:space="0" w:color="auto"/>
      </w:divBdr>
    </w:div>
    <w:div w:id="2054887623">
      <w:bodyDiv w:val="1"/>
      <w:marLeft w:val="0"/>
      <w:marRight w:val="0"/>
      <w:marTop w:val="0"/>
      <w:marBottom w:val="0"/>
      <w:divBdr>
        <w:top w:val="none" w:sz="0" w:space="0" w:color="auto"/>
        <w:left w:val="none" w:sz="0" w:space="0" w:color="auto"/>
        <w:bottom w:val="none" w:sz="0" w:space="0" w:color="auto"/>
        <w:right w:val="none" w:sz="0" w:space="0" w:color="auto"/>
      </w:divBdr>
    </w:div>
    <w:div w:id="2100328331">
      <w:bodyDiv w:val="1"/>
      <w:marLeft w:val="0"/>
      <w:marRight w:val="0"/>
      <w:marTop w:val="0"/>
      <w:marBottom w:val="0"/>
      <w:divBdr>
        <w:top w:val="none" w:sz="0" w:space="0" w:color="auto"/>
        <w:left w:val="none" w:sz="0" w:space="0" w:color="auto"/>
        <w:bottom w:val="none" w:sz="0" w:space="0" w:color="auto"/>
        <w:right w:val="none" w:sz="0" w:space="0" w:color="auto"/>
      </w:divBdr>
    </w:div>
    <w:div w:id="21113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C30F6-A393-40DF-ABE0-3D5BC58F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2170</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Agenda Item:</vt:lpstr>
    </vt:vector>
  </TitlesOfParts>
  <Company>Cambridgeshire Constabulary</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BreenN</dc:creator>
  <cp:keywords/>
  <cp:lastModifiedBy>FLOWERS, Aly 3726</cp:lastModifiedBy>
  <cp:revision>26</cp:revision>
  <cp:lastPrinted>2019-01-17T08:54:00Z</cp:lastPrinted>
  <dcterms:created xsi:type="dcterms:W3CDTF">2019-01-16T15:14:00Z</dcterms:created>
  <dcterms:modified xsi:type="dcterms:W3CDTF">2019-01-18T11:58:00Z</dcterms:modified>
</cp:coreProperties>
</file>