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DD" w:rsidRPr="00CE0FD8" w:rsidRDefault="00B16CDD" w:rsidP="00B16CDD">
      <w:pPr>
        <w:spacing w:after="0" w:line="240" w:lineRule="auto"/>
        <w:rPr>
          <w:rFonts w:ascii="Arial" w:hAnsi="Arial" w:cs="Arial"/>
        </w:rPr>
      </w:pPr>
    </w:p>
    <w:tbl>
      <w:tblPr>
        <w:tblStyle w:val="TableGrid"/>
        <w:tblW w:w="10456" w:type="dxa"/>
        <w:jc w:val="center"/>
        <w:tblBorders>
          <w:top w:val="single" w:sz="8" w:space="0" w:color="74BA00"/>
          <w:left w:val="single" w:sz="8" w:space="0" w:color="74BA00"/>
          <w:bottom w:val="single" w:sz="8" w:space="0" w:color="74BA00"/>
          <w:right w:val="single" w:sz="8" w:space="0" w:color="74BA00"/>
          <w:insideH w:val="single" w:sz="8" w:space="0" w:color="74BA00"/>
          <w:insideV w:val="single" w:sz="8" w:space="0" w:color="74BA00"/>
        </w:tblBorders>
        <w:tblLook w:val="04A0" w:firstRow="1" w:lastRow="0" w:firstColumn="1" w:lastColumn="0" w:noHBand="0" w:noVBand="1"/>
      </w:tblPr>
      <w:tblGrid>
        <w:gridCol w:w="1620"/>
        <w:gridCol w:w="4176"/>
        <w:gridCol w:w="1560"/>
        <w:gridCol w:w="3100"/>
      </w:tblGrid>
      <w:tr w:rsidR="00B16CDD" w:rsidRPr="00CE0FD8" w:rsidTr="00C31591">
        <w:trPr>
          <w:trHeight w:val="567"/>
          <w:jc w:val="center"/>
        </w:trPr>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Post Title</w:t>
            </w:r>
          </w:p>
        </w:tc>
        <w:tc>
          <w:tcPr>
            <w:tcW w:w="41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16CDD" w:rsidRPr="00CE0FD8" w:rsidRDefault="00B16CDD" w:rsidP="00C31591">
            <w:pPr>
              <w:rPr>
                <w:rFonts w:ascii="Arial" w:hAnsi="Arial" w:cs="Arial"/>
              </w:rPr>
            </w:pPr>
            <w:r w:rsidRPr="00CE0FD8">
              <w:rPr>
                <w:rFonts w:ascii="Arial" w:hAnsi="Arial" w:cs="Arial"/>
              </w:rPr>
              <w:t xml:space="preserve">Head of Transport Strategy </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Pay Range</w:t>
            </w:r>
          </w:p>
        </w:tc>
        <w:tc>
          <w:tcPr>
            <w:tcW w:w="31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16CDD" w:rsidRPr="00CE0FD8" w:rsidRDefault="00B16CDD" w:rsidP="00C31591">
            <w:pPr>
              <w:rPr>
                <w:rFonts w:ascii="Arial" w:hAnsi="Arial" w:cs="Arial"/>
              </w:rPr>
            </w:pPr>
            <w:r>
              <w:rPr>
                <w:rFonts w:ascii="Arial" w:hAnsi="Arial" w:cs="Arial"/>
              </w:rPr>
              <w:t>Range 12</w:t>
            </w:r>
          </w:p>
        </w:tc>
      </w:tr>
      <w:tr w:rsidR="00B16CDD" w:rsidRPr="00CE0FD8" w:rsidTr="00C31591">
        <w:trPr>
          <w:trHeight w:val="567"/>
          <w:jc w:val="center"/>
        </w:trPr>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Service Area</w:t>
            </w:r>
          </w:p>
        </w:tc>
        <w:tc>
          <w:tcPr>
            <w:tcW w:w="41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16CDD" w:rsidRPr="00CE0FD8" w:rsidRDefault="00B16CDD" w:rsidP="00C31591">
            <w:pPr>
              <w:rPr>
                <w:rFonts w:ascii="Arial" w:hAnsi="Arial" w:cs="Arial"/>
              </w:rPr>
            </w:pPr>
            <w:r w:rsidRPr="00CE0FD8">
              <w:rPr>
                <w:rFonts w:ascii="Arial" w:hAnsi="Arial" w:cs="Arial"/>
              </w:rPr>
              <w:t>Planning, Growth &amp; Sustainability: Strategic Transport and Infrastructure</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Line Manager</w:t>
            </w:r>
          </w:p>
        </w:tc>
        <w:tc>
          <w:tcPr>
            <w:tcW w:w="31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16CDD" w:rsidRPr="00CE0FD8" w:rsidRDefault="00B16CDD" w:rsidP="00C31591">
            <w:pPr>
              <w:rPr>
                <w:rFonts w:ascii="Arial" w:hAnsi="Arial" w:cs="Arial"/>
              </w:rPr>
            </w:pPr>
            <w:r w:rsidRPr="00CE0FD8">
              <w:rPr>
                <w:rFonts w:ascii="Arial" w:hAnsi="Arial" w:cs="Arial"/>
              </w:rPr>
              <w:t>Service Director Strategic Transport and Infrastructure</w:t>
            </w:r>
          </w:p>
        </w:tc>
      </w:tr>
      <w:tr w:rsidR="00B16CDD" w:rsidRPr="00CE0FD8" w:rsidTr="00C31591">
        <w:trPr>
          <w:trHeight w:val="567"/>
          <w:jc w:val="center"/>
        </w:trPr>
        <w:tc>
          <w:tcPr>
            <w:tcW w:w="162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Location</w:t>
            </w:r>
          </w:p>
        </w:tc>
        <w:tc>
          <w:tcPr>
            <w:tcW w:w="41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16CDD" w:rsidRPr="00CE0FD8" w:rsidRDefault="00B16CDD" w:rsidP="00C31591">
            <w:pPr>
              <w:rPr>
                <w:rFonts w:ascii="Arial" w:hAnsi="Arial" w:cs="Arial"/>
              </w:rPr>
            </w:pPr>
            <w:r w:rsidRPr="00CE0FD8">
              <w:rPr>
                <w:rFonts w:ascii="Arial" w:hAnsi="Arial" w:cs="Arial"/>
              </w:rPr>
              <w:t>Aylesbury NCO</w:t>
            </w:r>
          </w:p>
        </w:tc>
        <w:tc>
          <w:tcPr>
            <w:tcW w:w="15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16CDD" w:rsidRPr="00CE0FD8" w:rsidRDefault="00B16CDD" w:rsidP="00C31591">
            <w:pPr>
              <w:rPr>
                <w:rFonts w:ascii="Arial" w:hAnsi="Arial" w:cs="Arial"/>
                <w:b/>
              </w:rPr>
            </w:pPr>
          </w:p>
        </w:tc>
        <w:tc>
          <w:tcPr>
            <w:tcW w:w="31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16CDD" w:rsidRPr="00CE0FD8" w:rsidRDefault="00B16CDD" w:rsidP="00C31591">
            <w:pPr>
              <w:rPr>
                <w:rFonts w:ascii="Arial" w:hAnsi="Arial" w:cs="Arial"/>
              </w:rPr>
            </w:pPr>
          </w:p>
        </w:tc>
      </w:tr>
    </w:tbl>
    <w:p w:rsidR="00B16CDD" w:rsidRPr="00CE0FD8" w:rsidRDefault="00B16CDD" w:rsidP="00B16CDD">
      <w:pPr>
        <w:spacing w:after="0" w:line="240" w:lineRule="auto"/>
        <w:rPr>
          <w:rFonts w:ascii="Arial" w:hAnsi="Arial" w:cs="Arial"/>
        </w:rPr>
      </w:pPr>
    </w:p>
    <w:tbl>
      <w:tblPr>
        <w:tblStyle w:val="TableGrid"/>
        <w:tblW w:w="1045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456"/>
      </w:tblGrid>
      <w:tr w:rsidR="00B16CDD" w:rsidRPr="00CE0FD8" w:rsidTr="00C31591">
        <w:trPr>
          <w:trHeight w:val="340"/>
          <w:jc w:val="center"/>
        </w:trPr>
        <w:tc>
          <w:tcPr>
            <w:tcW w:w="10456"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Section 1: Job Purpose</w:t>
            </w:r>
          </w:p>
        </w:tc>
      </w:tr>
      <w:tr w:rsidR="00B16CDD" w:rsidRPr="00CE0FD8" w:rsidTr="00C31591">
        <w:trPr>
          <w:trHeight w:val="370"/>
          <w:jc w:val="center"/>
        </w:trPr>
        <w:tc>
          <w:tcPr>
            <w:tcW w:w="10456" w:type="dxa"/>
            <w:shd w:val="clear" w:color="auto" w:fill="auto"/>
          </w:tcPr>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 xml:space="preserve">To provide expert transport strategy advice on the Council’s response to external growth and infrastructure proposals as well as growth and transport issues within Buckinghamshire. </w:t>
            </w:r>
          </w:p>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To influence the transport policy and strategies at a national, regional and local level to ensure that the future growth needs of Buckinghamshire are recognised and provided for by national, regional and local agencies.</w:t>
            </w:r>
          </w:p>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To develop transport schemes and services to meet the existing and future needs of Buckinghamshire, prepare and submit funding bids and manage grant, s106 and capital funds to advance or develop transport projects.</w:t>
            </w:r>
          </w:p>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 xml:space="preserve">To deliver healthy and active travel services to Bucks communities. </w:t>
            </w:r>
          </w:p>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p>
        </w:tc>
      </w:tr>
    </w:tbl>
    <w:p w:rsidR="00B16CDD" w:rsidRPr="00CE0FD8" w:rsidRDefault="00B16CDD" w:rsidP="00B16CDD">
      <w:pPr>
        <w:spacing w:after="0" w:line="240" w:lineRule="auto"/>
        <w:rPr>
          <w:rFonts w:ascii="Arial" w:hAnsi="Arial" w:cs="Arial"/>
        </w:rPr>
      </w:pPr>
    </w:p>
    <w:tbl>
      <w:tblPr>
        <w:tblStyle w:val="TableGrid"/>
        <w:tblW w:w="1045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456"/>
      </w:tblGrid>
      <w:tr w:rsidR="00B16CDD" w:rsidRPr="00CE0FD8" w:rsidTr="00C31591">
        <w:trPr>
          <w:trHeight w:val="340"/>
          <w:jc w:val="center"/>
        </w:trPr>
        <w:tc>
          <w:tcPr>
            <w:tcW w:w="10456"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Section 2: Main Responsibilities and Duties</w:t>
            </w:r>
          </w:p>
        </w:tc>
      </w:tr>
      <w:tr w:rsidR="00B16CDD" w:rsidRPr="00CE0FD8" w:rsidTr="00C31591">
        <w:trPr>
          <w:trHeight w:val="1587"/>
          <w:jc w:val="center"/>
        </w:trPr>
        <w:tc>
          <w:tcPr>
            <w:tcW w:w="10456" w:type="dxa"/>
            <w:shd w:val="clear" w:color="auto" w:fill="auto"/>
          </w:tcPr>
          <w:p w:rsidR="00B16CDD" w:rsidRPr="00CE0FD8" w:rsidRDefault="00B16CDD" w:rsidP="00B16CDD">
            <w:pPr>
              <w:numPr>
                <w:ilvl w:val="0"/>
                <w:numId w:val="1"/>
              </w:numPr>
              <w:spacing w:before="40" w:after="40"/>
              <w:rPr>
                <w:rFonts w:ascii="Arial" w:hAnsi="Arial" w:cs="Arial"/>
              </w:rPr>
            </w:pPr>
            <w:r w:rsidRPr="00CE0FD8">
              <w:rPr>
                <w:rFonts w:ascii="Arial" w:hAnsi="Arial" w:cs="Arial"/>
              </w:rPr>
              <w:t>To lead and manage the transport strategy activities and related policy functions</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create a suitable policy framework as the basis on which future transport needs are identified and managed</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apply the policy framework to determine the implications of plan led growth, and identify the required mitigation measures</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be the Council’s technical lead in identifying infrastructure solutions to strategic significant planned growth</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align proposals for investment in infrastructure and services with policy frameworks and plans, and with development opportunities</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 xml:space="preserve">To work with the Local Enterprise Partnership to secure investment in infrastructure and services required to mitigate the impact of planned growth. </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be the lead officer for the Council’s transport modelling function, ensuring that it is fit for purpose and available to third parties as required</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lead and maintain the Council’s business relationship with national delivery agencies – e.g. Highways England, Network Rail</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 xml:space="preserve">To be the lead for the Council in transport strategy work undertaken by England’s Economic Heartland Strategic Alliance </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drive forward an evidence based approach to the preparation of bids for investment in transport infrastructure and services</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To undertake horizon-scanning to identify opportunities in transport strategy, growth and development strategy, including funding mechanisms and opportunities</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 xml:space="preserve">To work with stakeholders locally and nationally with regard to transport strategy and related </w:t>
            </w:r>
            <w:r w:rsidRPr="00CE0FD8">
              <w:rPr>
                <w:rFonts w:ascii="Arial" w:hAnsi="Arial" w:cs="Arial"/>
              </w:rPr>
              <w:lastRenderedPageBreak/>
              <w:t>policy functions</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 xml:space="preserve">To deputize for the Service Director Strategic Transport and Infrastructure </w:t>
            </w:r>
          </w:p>
          <w:p w:rsidR="00B16CDD" w:rsidRPr="00CE0FD8" w:rsidRDefault="00B16CDD" w:rsidP="00B16CDD">
            <w:pPr>
              <w:numPr>
                <w:ilvl w:val="0"/>
                <w:numId w:val="1"/>
              </w:numPr>
              <w:spacing w:before="40" w:after="40"/>
              <w:rPr>
                <w:rFonts w:ascii="Arial" w:hAnsi="Arial" w:cs="Arial"/>
              </w:rPr>
            </w:pPr>
            <w:r w:rsidRPr="00CE0FD8">
              <w:rPr>
                <w:rFonts w:ascii="Arial" w:hAnsi="Arial" w:cs="Arial"/>
              </w:rPr>
              <w:t xml:space="preserve">To effectively lead and develop the Transport Strategy Team </w:t>
            </w:r>
          </w:p>
        </w:tc>
      </w:tr>
    </w:tbl>
    <w:p w:rsidR="00B16CDD" w:rsidRPr="00CE0FD8" w:rsidRDefault="00B16CDD" w:rsidP="00B16CDD">
      <w:pPr>
        <w:spacing w:after="0"/>
        <w:rPr>
          <w:rFonts w:ascii="Arial" w:hAnsi="Arial" w:cs="Arial"/>
        </w:rPr>
      </w:pPr>
    </w:p>
    <w:tbl>
      <w:tblPr>
        <w:tblStyle w:val="TableGrid"/>
        <w:tblW w:w="1045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352"/>
        <w:gridCol w:w="10104"/>
      </w:tblGrid>
      <w:tr w:rsidR="00B16CDD" w:rsidRPr="00CE0FD8" w:rsidTr="00C31591">
        <w:trPr>
          <w:trHeight w:val="86"/>
          <w:jc w:val="center"/>
        </w:trPr>
        <w:tc>
          <w:tcPr>
            <w:tcW w:w="7950" w:type="dxa"/>
            <w:gridSpan w:val="2"/>
            <w:tcBorders>
              <w:bottom w:val="single" w:sz="8" w:space="0" w:color="808080" w:themeColor="background1" w:themeShade="80"/>
            </w:tcBorders>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Section 3: Values and Behaviours</w:t>
            </w:r>
          </w:p>
        </w:tc>
      </w:tr>
      <w:tr w:rsidR="00B16CDD" w:rsidRPr="00CE0FD8" w:rsidTr="00C31591">
        <w:trPr>
          <w:trHeight w:val="86"/>
          <w:jc w:val="center"/>
        </w:trPr>
        <w:tc>
          <w:tcPr>
            <w:tcW w:w="7950" w:type="dxa"/>
            <w:gridSpan w:val="2"/>
            <w:tcBorders>
              <w:bottom w:val="nil"/>
            </w:tcBorders>
            <w:shd w:val="clear" w:color="auto" w:fill="auto"/>
            <w:vAlign w:val="center"/>
          </w:tcPr>
          <w:p w:rsidR="00B16CDD" w:rsidRPr="00CE0FD8" w:rsidRDefault="00B16CDD" w:rsidP="00C31591">
            <w:pPr>
              <w:rPr>
                <w:rFonts w:ascii="Arial" w:hAnsi="Arial" w:cs="Arial"/>
              </w:rPr>
            </w:pPr>
            <w:r w:rsidRPr="00CE0FD8">
              <w:rPr>
                <w:rFonts w:ascii="Arial" w:hAnsi="Arial" w:cs="Arial"/>
              </w:rPr>
              <w:t>We expect your values and behaviours to reflect the values of the organisation:</w:t>
            </w:r>
          </w:p>
        </w:tc>
      </w:tr>
      <w:tr w:rsidR="00B16CDD" w:rsidRPr="00CE0FD8" w:rsidTr="00C31591">
        <w:trPr>
          <w:trHeight w:val="548"/>
          <w:jc w:val="center"/>
        </w:trPr>
        <w:tc>
          <w:tcPr>
            <w:tcW w:w="268" w:type="dxa"/>
            <w:tcBorders>
              <w:top w:val="nil"/>
              <w:bottom w:val="single" w:sz="4" w:space="0" w:color="auto"/>
              <w:right w:val="nil"/>
            </w:tcBorders>
            <w:shd w:val="clear" w:color="auto" w:fill="auto"/>
            <w:vAlign w:val="center"/>
          </w:tcPr>
          <w:p w:rsidR="00B16CDD" w:rsidRPr="00CE0FD8" w:rsidRDefault="00B16CDD" w:rsidP="00C31591">
            <w:pPr>
              <w:rPr>
                <w:rFonts w:ascii="Arial" w:hAnsi="Arial" w:cs="Arial"/>
              </w:rPr>
            </w:pPr>
          </w:p>
        </w:tc>
        <w:tc>
          <w:tcPr>
            <w:tcW w:w="7682" w:type="dxa"/>
            <w:tcBorders>
              <w:top w:val="nil"/>
              <w:left w:val="nil"/>
              <w:bottom w:val="single" w:sz="4" w:space="0" w:color="auto"/>
            </w:tcBorders>
            <w:shd w:val="clear" w:color="auto" w:fill="auto"/>
            <w:vAlign w:val="center"/>
          </w:tcPr>
          <w:p w:rsidR="00B16CDD" w:rsidRPr="00CE0FD8" w:rsidRDefault="00B16CDD" w:rsidP="00C31591">
            <w:pPr>
              <w:rPr>
                <w:rFonts w:ascii="Arial" w:hAnsi="Arial" w:cs="Arial"/>
                <w:b/>
              </w:rPr>
            </w:pPr>
          </w:p>
          <w:p w:rsidR="00B16CDD" w:rsidRPr="00CE0FD8" w:rsidRDefault="00B16CDD" w:rsidP="00C31591">
            <w:pPr>
              <w:rPr>
                <w:rFonts w:ascii="Arial" w:hAnsi="Arial" w:cs="Arial"/>
              </w:rPr>
            </w:pPr>
            <w:r w:rsidRPr="00CE0FD8">
              <w:rPr>
                <w:rFonts w:ascii="Arial" w:hAnsi="Arial" w:cs="Arial"/>
                <w:b/>
              </w:rPr>
              <w:t>Proud</w:t>
            </w:r>
            <w:r w:rsidRPr="00CE0FD8">
              <w:rPr>
                <w:rFonts w:ascii="Arial" w:hAnsi="Arial" w:cs="Arial"/>
              </w:rPr>
              <w:t xml:space="preserve"> </w:t>
            </w:r>
            <w:r w:rsidRPr="00CE0FD8">
              <w:rPr>
                <w:rFonts w:ascii="Arial" w:hAnsi="Arial" w:cs="Arial"/>
                <w:b/>
              </w:rPr>
              <w:br/>
              <w:t>Ambitious</w:t>
            </w:r>
            <w:r w:rsidRPr="00CE0FD8">
              <w:rPr>
                <w:rFonts w:ascii="Arial" w:hAnsi="Arial" w:cs="Arial"/>
              </w:rPr>
              <w:t xml:space="preserve"> </w:t>
            </w:r>
          </w:p>
          <w:p w:rsidR="00B16CDD" w:rsidRPr="00CE0FD8" w:rsidRDefault="00B16CDD" w:rsidP="00C31591">
            <w:pPr>
              <w:rPr>
                <w:rFonts w:ascii="Arial" w:hAnsi="Arial" w:cs="Arial"/>
              </w:rPr>
            </w:pPr>
            <w:r w:rsidRPr="00CE0FD8">
              <w:rPr>
                <w:rFonts w:ascii="Arial" w:hAnsi="Arial" w:cs="Arial"/>
                <w:b/>
              </w:rPr>
              <w:t>Collaborative</w:t>
            </w:r>
            <w:r w:rsidRPr="00CE0FD8">
              <w:rPr>
                <w:rFonts w:ascii="Arial" w:hAnsi="Arial" w:cs="Arial"/>
              </w:rPr>
              <w:t xml:space="preserve"> </w:t>
            </w:r>
          </w:p>
          <w:p w:rsidR="00B16CDD" w:rsidRPr="00CE0FD8" w:rsidRDefault="00B16CDD" w:rsidP="00C31591">
            <w:pPr>
              <w:rPr>
                <w:rFonts w:ascii="Arial" w:hAnsi="Arial" w:cs="Arial"/>
              </w:rPr>
            </w:pPr>
            <w:r w:rsidRPr="00CE0FD8">
              <w:rPr>
                <w:rFonts w:ascii="Arial" w:hAnsi="Arial" w:cs="Arial"/>
                <w:b/>
              </w:rPr>
              <w:t>Trustworthy</w:t>
            </w:r>
            <w:r w:rsidRPr="00CE0FD8">
              <w:rPr>
                <w:rFonts w:ascii="Arial" w:hAnsi="Arial" w:cs="Arial"/>
              </w:rPr>
              <w:t xml:space="preserve"> </w:t>
            </w:r>
          </w:p>
          <w:p w:rsidR="00B16CDD" w:rsidRPr="00CE0FD8" w:rsidRDefault="00B16CDD" w:rsidP="00C31591">
            <w:pPr>
              <w:rPr>
                <w:rFonts w:ascii="Arial" w:hAnsi="Arial" w:cs="Arial"/>
              </w:rPr>
            </w:pPr>
          </w:p>
        </w:tc>
      </w:tr>
    </w:tbl>
    <w:p w:rsidR="00B16CDD" w:rsidRPr="00CE0FD8" w:rsidRDefault="00B16CDD" w:rsidP="00B16CDD">
      <w:pPr>
        <w:rPr>
          <w:rFonts w:ascii="Arial" w:hAnsi="Arial" w:cs="Arial"/>
        </w:rPr>
      </w:pPr>
      <w:bookmarkStart w:id="0" w:name="_GoBack"/>
      <w:bookmarkEnd w:id="0"/>
    </w:p>
    <w:p w:rsidR="00B16CDD" w:rsidRPr="00CE0FD8" w:rsidRDefault="00B16CDD" w:rsidP="00B16CDD">
      <w:pPr>
        <w:spacing w:after="0" w:line="240" w:lineRule="auto"/>
        <w:rPr>
          <w:rFonts w:ascii="Arial" w:hAnsi="Arial" w:cs="Arial"/>
          <w:b/>
        </w:rPr>
      </w:pPr>
      <w:r w:rsidRPr="00CE0FD8">
        <w:rPr>
          <w:rFonts w:ascii="Arial" w:hAnsi="Arial" w:cs="Arial"/>
          <w:b/>
        </w:rPr>
        <w:t>Person Specification</w:t>
      </w:r>
    </w:p>
    <w:p w:rsidR="00B16CDD" w:rsidRPr="00CE0FD8" w:rsidRDefault="00B16CDD" w:rsidP="00B16CDD">
      <w:pPr>
        <w:spacing w:after="0" w:line="240" w:lineRule="auto"/>
        <w:rPr>
          <w:rFonts w:ascii="Arial" w:hAnsi="Arial" w:cs="Arial"/>
        </w:rPr>
      </w:pPr>
    </w:p>
    <w:p w:rsidR="00B16CDD" w:rsidRPr="00CE0FD8" w:rsidRDefault="00B16CDD" w:rsidP="00B16CDD">
      <w:pPr>
        <w:spacing w:after="0"/>
        <w:rPr>
          <w:rFonts w:ascii="Arial" w:hAnsi="Arial" w:cs="Arial"/>
        </w:rPr>
      </w:pPr>
      <w:r w:rsidRPr="00CE0FD8">
        <w:rPr>
          <w:rFonts w:ascii="Arial" w:hAnsi="Arial" w:cs="Arial"/>
        </w:rPr>
        <w:t>The following criteria will be assessed from information provided on your completed application form, during the shortlisting and assessment process, and from your references.</w:t>
      </w:r>
    </w:p>
    <w:p w:rsidR="00B16CDD" w:rsidRPr="00CE0FD8" w:rsidRDefault="00B16CDD" w:rsidP="00B16CDD">
      <w:pPr>
        <w:spacing w:after="0"/>
        <w:rPr>
          <w:rFonts w:ascii="Arial" w:hAnsi="Arial" w:cs="Arial"/>
        </w:rPr>
      </w:pPr>
    </w:p>
    <w:tbl>
      <w:tblPr>
        <w:tblStyle w:val="TableGrid"/>
        <w:tblW w:w="1045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191"/>
        <w:gridCol w:w="3759"/>
        <w:gridCol w:w="1253"/>
        <w:gridCol w:w="1253"/>
      </w:tblGrid>
      <w:tr w:rsidR="00B16CDD" w:rsidRPr="00CE0FD8" w:rsidTr="00C31591">
        <w:trPr>
          <w:trHeight w:val="340"/>
          <w:jc w:val="center"/>
        </w:trPr>
        <w:tc>
          <w:tcPr>
            <w:tcW w:w="4191"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Section 4:</w:t>
            </w:r>
          </w:p>
          <w:p w:rsidR="00B16CDD" w:rsidRPr="00CE0FD8" w:rsidRDefault="00B16CDD" w:rsidP="00C31591">
            <w:pPr>
              <w:rPr>
                <w:rFonts w:ascii="Arial" w:hAnsi="Arial" w:cs="Arial"/>
                <w:b/>
              </w:rPr>
            </w:pPr>
            <w:r w:rsidRPr="00CE0FD8">
              <w:rPr>
                <w:rFonts w:ascii="Arial" w:hAnsi="Arial" w:cs="Arial"/>
                <w:b/>
              </w:rPr>
              <w:t xml:space="preserve">Knowledge, Skills and Experience </w:t>
            </w:r>
          </w:p>
        </w:tc>
        <w:tc>
          <w:tcPr>
            <w:tcW w:w="3759"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Job Specific Examples</w:t>
            </w:r>
          </w:p>
        </w:tc>
        <w:tc>
          <w:tcPr>
            <w:tcW w:w="1253"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Essential</w:t>
            </w:r>
          </w:p>
        </w:tc>
        <w:tc>
          <w:tcPr>
            <w:tcW w:w="1253"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Desirable</w:t>
            </w: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Substantial relevant experience in transport planning, policy and strategy work</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Comprehensive knowledge of the service area and wider sector/external influences. Able to actively contribute to the strategic direction of the service</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Experience of representing a council in a professional capacity</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Initiative, strategic and political awareness demonstrated in problem solving and decision making</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b/>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Excellent communication, persuasion and negotiating skills.  Experience in managing sensitive and contentious issues and diffusing confrontational situations.</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b/>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Represent a council at partnership, public and other high profile events.  Authority and credibility to build relationships and engage successfully at all levels in complex or politically sensitive situations.</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b/>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Extensive experience with working in a politically-led environment on confidential or sensitive matters.</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b/>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b/>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Commissioning technical work as informed client with budget management experience</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b/>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b/>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lastRenderedPageBreak/>
              <w:t xml:space="preserve">Experience of development, motivation and management of staff.  </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b/>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b/>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 xml:space="preserve">Experience of scheme development, including feasibility, drafting business cases and appraisal </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b/>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b/>
              </w:rPr>
            </w:pPr>
          </w:p>
        </w:tc>
      </w:tr>
      <w:tr w:rsidR="00B16CDD" w:rsidRPr="00CE0FD8" w:rsidTr="00C31591">
        <w:trPr>
          <w:trHeight w:val="340"/>
          <w:jc w:val="center"/>
        </w:trPr>
        <w:tc>
          <w:tcPr>
            <w:tcW w:w="4191" w:type="dxa"/>
            <w:shd w:val="clear" w:color="auto" w:fill="auto"/>
            <w:vAlign w:val="center"/>
          </w:tcPr>
          <w:p w:rsidR="00B16CDD" w:rsidRPr="00CE0FD8" w:rsidRDefault="00B16CDD" w:rsidP="00C31591">
            <w:pPr>
              <w:rPr>
                <w:rFonts w:ascii="Arial" w:hAnsi="Arial" w:cs="Arial"/>
              </w:rPr>
            </w:pPr>
            <w:r w:rsidRPr="00CE0FD8">
              <w:rPr>
                <w:rFonts w:ascii="Arial" w:hAnsi="Arial" w:cs="Arial"/>
              </w:rPr>
              <w:t xml:space="preserve">Experience of successfully bidding for external funding </w:t>
            </w:r>
          </w:p>
        </w:tc>
        <w:tc>
          <w:tcPr>
            <w:tcW w:w="3759" w:type="dxa"/>
            <w:shd w:val="clear" w:color="auto" w:fill="auto"/>
            <w:vAlign w:val="center"/>
          </w:tcPr>
          <w:p w:rsidR="00B16CDD" w:rsidRPr="00CE0FD8" w:rsidRDefault="00B16CDD" w:rsidP="00C31591">
            <w:pP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r>
      <w:tr w:rsidR="00B16CDD" w:rsidRPr="00CE0FD8" w:rsidTr="00C31591">
        <w:trPr>
          <w:trHeight w:val="340"/>
          <w:jc w:val="center"/>
        </w:trPr>
        <w:tc>
          <w:tcPr>
            <w:tcW w:w="7950" w:type="dxa"/>
            <w:gridSpan w:val="2"/>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Qualifications</w:t>
            </w:r>
          </w:p>
        </w:tc>
        <w:tc>
          <w:tcPr>
            <w:tcW w:w="1253"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Essential</w:t>
            </w:r>
          </w:p>
        </w:tc>
        <w:tc>
          <w:tcPr>
            <w:tcW w:w="1253"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Desirable</w:t>
            </w:r>
          </w:p>
        </w:tc>
      </w:tr>
      <w:tr w:rsidR="00B16CDD" w:rsidRPr="00CE0FD8" w:rsidTr="00C31591">
        <w:trPr>
          <w:trHeight w:val="340"/>
          <w:jc w:val="center"/>
        </w:trPr>
        <w:tc>
          <w:tcPr>
            <w:tcW w:w="7950" w:type="dxa"/>
            <w:gridSpan w:val="2"/>
            <w:shd w:val="clear" w:color="auto" w:fill="auto"/>
            <w:vAlign w:val="center"/>
          </w:tcPr>
          <w:p w:rsidR="00B16CDD" w:rsidRPr="00CE0FD8" w:rsidRDefault="00B16CDD" w:rsidP="00C31591">
            <w:pPr>
              <w:rPr>
                <w:rFonts w:ascii="Arial" w:hAnsi="Arial" w:cs="Arial"/>
              </w:rPr>
            </w:pPr>
            <w:r w:rsidRPr="00CE0FD8">
              <w:rPr>
                <w:rFonts w:ascii="Arial" w:hAnsi="Arial" w:cs="Arial"/>
              </w:rPr>
              <w:t>Degree relevant discipline or substantial experience.</w:t>
            </w:r>
          </w:p>
        </w:tc>
        <w:tc>
          <w:tcPr>
            <w:tcW w:w="1253" w:type="dxa"/>
            <w:shd w:val="clear" w:color="auto" w:fill="auto"/>
            <w:vAlign w:val="center"/>
          </w:tcPr>
          <w:p w:rsidR="00B16CDD" w:rsidRPr="00CE0FD8" w:rsidRDefault="00B16CDD" w:rsidP="00C31591">
            <w:pPr>
              <w:jc w:val="center"/>
              <w:rPr>
                <w:rFonts w:ascii="Arial" w:hAnsi="Arial" w:cs="Arial"/>
                <w:b/>
              </w:rPr>
            </w:pPr>
            <w:r w:rsidRPr="00CE0FD8">
              <w:rPr>
                <w:rFonts w:ascii="Arial" w:hAnsi="Arial" w:cs="Arial"/>
                <w:b/>
              </w:rPr>
              <w:sym w:font="Wingdings 2" w:char="F050"/>
            </w:r>
          </w:p>
        </w:tc>
        <w:tc>
          <w:tcPr>
            <w:tcW w:w="1253" w:type="dxa"/>
            <w:shd w:val="clear" w:color="auto" w:fill="auto"/>
            <w:vAlign w:val="center"/>
          </w:tcPr>
          <w:p w:rsidR="00B16CDD" w:rsidRPr="00CE0FD8" w:rsidRDefault="00B16CDD" w:rsidP="00C31591">
            <w:pPr>
              <w:jc w:val="center"/>
              <w:rPr>
                <w:rFonts w:ascii="Arial" w:hAnsi="Arial" w:cs="Arial"/>
              </w:rPr>
            </w:pPr>
          </w:p>
        </w:tc>
      </w:tr>
      <w:tr w:rsidR="00B16CDD" w:rsidRPr="00CE0FD8" w:rsidTr="00C31591">
        <w:trPr>
          <w:trHeight w:val="340"/>
          <w:jc w:val="center"/>
        </w:trPr>
        <w:tc>
          <w:tcPr>
            <w:tcW w:w="7950" w:type="dxa"/>
            <w:gridSpan w:val="2"/>
            <w:shd w:val="clear" w:color="auto" w:fill="auto"/>
            <w:vAlign w:val="center"/>
          </w:tcPr>
          <w:p w:rsidR="00B16CDD" w:rsidRPr="00CE0FD8" w:rsidRDefault="00B16CDD" w:rsidP="00C31591">
            <w:pPr>
              <w:rPr>
                <w:rFonts w:ascii="Arial" w:hAnsi="Arial" w:cs="Arial"/>
              </w:rPr>
            </w:pPr>
            <w:r w:rsidRPr="00CE0FD8">
              <w:rPr>
                <w:rFonts w:ascii="Arial" w:hAnsi="Arial" w:cs="Arial"/>
              </w:rPr>
              <w:t>MSc in relevant discipline or evidence of further technical qualifications</w:t>
            </w:r>
          </w:p>
        </w:tc>
        <w:tc>
          <w:tcPr>
            <w:tcW w:w="1253" w:type="dxa"/>
            <w:shd w:val="clear" w:color="auto" w:fill="auto"/>
            <w:vAlign w:val="center"/>
          </w:tcPr>
          <w:p w:rsidR="00B16CDD" w:rsidRPr="00CE0FD8" w:rsidRDefault="00B16CDD" w:rsidP="00C31591">
            <w:pPr>
              <w:jc w:val="cente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r>
      <w:tr w:rsidR="00B16CDD" w:rsidRPr="00CE0FD8" w:rsidTr="00C31591">
        <w:trPr>
          <w:trHeight w:val="340"/>
          <w:jc w:val="center"/>
        </w:trPr>
        <w:tc>
          <w:tcPr>
            <w:tcW w:w="7950" w:type="dxa"/>
            <w:gridSpan w:val="2"/>
            <w:shd w:val="clear" w:color="auto" w:fill="auto"/>
            <w:vAlign w:val="center"/>
          </w:tcPr>
          <w:p w:rsidR="00B16CDD" w:rsidRPr="00CE0FD8" w:rsidRDefault="00B16CDD" w:rsidP="00C31591">
            <w:pPr>
              <w:rPr>
                <w:rFonts w:ascii="Arial" w:hAnsi="Arial" w:cs="Arial"/>
              </w:rPr>
            </w:pPr>
            <w:r w:rsidRPr="00CE0FD8">
              <w:rPr>
                <w:rFonts w:ascii="Arial" w:hAnsi="Arial" w:cs="Arial"/>
              </w:rPr>
              <w:t>Management qualification</w:t>
            </w:r>
          </w:p>
        </w:tc>
        <w:tc>
          <w:tcPr>
            <w:tcW w:w="1253" w:type="dxa"/>
            <w:shd w:val="clear" w:color="auto" w:fill="auto"/>
            <w:vAlign w:val="center"/>
          </w:tcPr>
          <w:p w:rsidR="00B16CDD" w:rsidRPr="00CE0FD8" w:rsidRDefault="00B16CDD" w:rsidP="00C31591">
            <w:pPr>
              <w:jc w:val="cente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r>
      <w:tr w:rsidR="00B16CDD" w:rsidRPr="00CE0FD8" w:rsidTr="00C31591">
        <w:trPr>
          <w:trHeight w:val="340"/>
          <w:jc w:val="center"/>
        </w:trPr>
        <w:tc>
          <w:tcPr>
            <w:tcW w:w="7950" w:type="dxa"/>
            <w:gridSpan w:val="2"/>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Other Requirements</w:t>
            </w:r>
          </w:p>
        </w:tc>
        <w:tc>
          <w:tcPr>
            <w:tcW w:w="1253"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Essential</w:t>
            </w:r>
          </w:p>
        </w:tc>
        <w:tc>
          <w:tcPr>
            <w:tcW w:w="1253"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Desirable</w:t>
            </w:r>
          </w:p>
        </w:tc>
      </w:tr>
      <w:tr w:rsidR="00B16CDD" w:rsidRPr="00CE0FD8" w:rsidTr="00C31591">
        <w:trPr>
          <w:trHeight w:val="340"/>
          <w:jc w:val="center"/>
        </w:trPr>
        <w:tc>
          <w:tcPr>
            <w:tcW w:w="7950" w:type="dxa"/>
            <w:gridSpan w:val="2"/>
            <w:shd w:val="clear" w:color="auto" w:fill="auto"/>
            <w:vAlign w:val="center"/>
          </w:tcPr>
          <w:p w:rsidR="00B16CDD" w:rsidRPr="00CE0FD8" w:rsidRDefault="00B16CDD" w:rsidP="00C31591">
            <w:pPr>
              <w:rPr>
                <w:rFonts w:ascii="Arial" w:hAnsi="Arial" w:cs="Arial"/>
              </w:rPr>
            </w:pPr>
            <w:r w:rsidRPr="00CE0FD8">
              <w:rPr>
                <w:rFonts w:ascii="Arial" w:hAnsi="Arial" w:cs="Arial"/>
              </w:rPr>
              <w:t xml:space="preserve">Full driving license </w:t>
            </w:r>
          </w:p>
        </w:tc>
        <w:tc>
          <w:tcPr>
            <w:tcW w:w="1253" w:type="dxa"/>
            <w:shd w:val="clear" w:color="auto" w:fill="auto"/>
            <w:vAlign w:val="center"/>
          </w:tcPr>
          <w:p w:rsidR="00B16CDD" w:rsidRPr="00CE0FD8" w:rsidRDefault="00B16CDD" w:rsidP="00C31591">
            <w:pPr>
              <w:jc w:val="center"/>
              <w:rPr>
                <w:rFonts w:ascii="Arial" w:hAnsi="Arial" w:cs="Arial"/>
              </w:rPr>
            </w:pPr>
          </w:p>
        </w:tc>
        <w:tc>
          <w:tcPr>
            <w:tcW w:w="1253" w:type="dxa"/>
            <w:shd w:val="clear" w:color="auto" w:fill="auto"/>
            <w:vAlign w:val="center"/>
          </w:tcPr>
          <w:p w:rsidR="00B16CDD" w:rsidRPr="00CE0FD8" w:rsidRDefault="00B16CDD" w:rsidP="00C31591">
            <w:pPr>
              <w:jc w:val="center"/>
              <w:rPr>
                <w:rFonts w:ascii="Arial" w:hAnsi="Arial" w:cs="Arial"/>
              </w:rPr>
            </w:pPr>
            <w:r w:rsidRPr="00CE0FD8">
              <w:rPr>
                <w:rFonts w:ascii="Arial" w:hAnsi="Arial" w:cs="Arial"/>
                <w:b/>
              </w:rPr>
              <w:sym w:font="Wingdings 2" w:char="F050"/>
            </w:r>
          </w:p>
        </w:tc>
      </w:tr>
    </w:tbl>
    <w:p w:rsidR="00B16CDD" w:rsidRPr="00CE0FD8" w:rsidRDefault="00B16CDD" w:rsidP="00B16CDD">
      <w:pPr>
        <w:spacing w:after="0" w:line="240" w:lineRule="auto"/>
        <w:rPr>
          <w:rFonts w:ascii="Arial" w:hAnsi="Arial" w:cs="Arial"/>
        </w:rPr>
      </w:pPr>
    </w:p>
    <w:p w:rsidR="00B16CDD" w:rsidRPr="00CE0FD8" w:rsidRDefault="00B16CDD" w:rsidP="00B16CDD">
      <w:pPr>
        <w:spacing w:after="0" w:line="240" w:lineRule="auto"/>
        <w:rPr>
          <w:rFonts w:ascii="Arial" w:hAnsi="Arial" w:cs="Arial"/>
        </w:rPr>
      </w:pPr>
    </w:p>
    <w:tbl>
      <w:tblPr>
        <w:tblStyle w:val="TableGrid"/>
        <w:tblW w:w="1045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0456"/>
      </w:tblGrid>
      <w:tr w:rsidR="00B16CDD" w:rsidRPr="00CE0FD8" w:rsidTr="00C31591">
        <w:trPr>
          <w:trHeight w:val="340"/>
          <w:jc w:val="center"/>
        </w:trPr>
        <w:tc>
          <w:tcPr>
            <w:tcW w:w="10456" w:type="dxa"/>
            <w:shd w:val="clear" w:color="auto" w:fill="C6D9F1" w:themeFill="text2" w:themeFillTint="33"/>
            <w:vAlign w:val="center"/>
          </w:tcPr>
          <w:p w:rsidR="00B16CDD" w:rsidRPr="00CE0FD8" w:rsidRDefault="00B16CDD" w:rsidP="00C31591">
            <w:pPr>
              <w:rPr>
                <w:rFonts w:ascii="Arial" w:hAnsi="Arial" w:cs="Arial"/>
                <w:b/>
              </w:rPr>
            </w:pPr>
            <w:r w:rsidRPr="00CE0FD8">
              <w:rPr>
                <w:rFonts w:ascii="Arial" w:hAnsi="Arial" w:cs="Arial"/>
                <w:b/>
              </w:rPr>
              <w:t>Section 5: Job Context, Current Deliverables and Priorities</w:t>
            </w:r>
          </w:p>
        </w:tc>
      </w:tr>
      <w:tr w:rsidR="00B16CDD" w:rsidRPr="00CE0FD8" w:rsidTr="00C31591">
        <w:trPr>
          <w:trHeight w:val="780"/>
          <w:jc w:val="center"/>
        </w:trPr>
        <w:tc>
          <w:tcPr>
            <w:tcW w:w="10456" w:type="dxa"/>
            <w:shd w:val="clear" w:color="auto" w:fill="auto"/>
          </w:tcPr>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Transport Strategy covers</w:t>
            </w:r>
          </w:p>
          <w:p w:rsidR="00B16CDD" w:rsidRPr="00CE0FD8" w:rsidRDefault="00B16CDD" w:rsidP="00B16CDD">
            <w:pPr>
              <w:pStyle w:val="ListParagraph"/>
              <w:numPr>
                <w:ilvl w:val="0"/>
                <w:numId w:val="2"/>
              </w:numPr>
              <w:spacing w:before="40" w:after="40"/>
              <w:rPr>
                <w:rFonts w:ascii="Arial" w:hAnsi="Arial" w:cs="Arial"/>
              </w:rPr>
            </w:pPr>
            <w:r w:rsidRPr="00CE0FD8">
              <w:rPr>
                <w:rFonts w:ascii="Arial" w:hAnsi="Arial" w:cs="Arial"/>
              </w:rPr>
              <w:t>Transport policy</w:t>
            </w:r>
          </w:p>
          <w:p w:rsidR="00B16CDD" w:rsidRPr="00CE0FD8" w:rsidRDefault="00B16CDD" w:rsidP="00B16CDD">
            <w:pPr>
              <w:pStyle w:val="ListParagraph"/>
              <w:numPr>
                <w:ilvl w:val="0"/>
                <w:numId w:val="2"/>
              </w:numPr>
              <w:spacing w:before="40" w:after="40"/>
              <w:rPr>
                <w:rFonts w:ascii="Arial" w:hAnsi="Arial" w:cs="Arial"/>
              </w:rPr>
            </w:pPr>
            <w:r w:rsidRPr="00CE0FD8">
              <w:rPr>
                <w:rFonts w:ascii="Arial" w:hAnsi="Arial" w:cs="Arial"/>
              </w:rPr>
              <w:t>Transport scheme feasibility, programme management, minor scheme implementation and bidding</w:t>
            </w:r>
          </w:p>
          <w:p w:rsidR="00B16CDD" w:rsidRPr="00CE0FD8" w:rsidRDefault="00B16CDD" w:rsidP="00B16CDD">
            <w:pPr>
              <w:pStyle w:val="ListParagraph"/>
              <w:numPr>
                <w:ilvl w:val="0"/>
                <w:numId w:val="2"/>
              </w:numPr>
              <w:spacing w:before="40" w:after="40"/>
              <w:rPr>
                <w:rFonts w:ascii="Arial" w:hAnsi="Arial" w:cs="Arial"/>
              </w:rPr>
            </w:pPr>
            <w:r w:rsidRPr="00CE0FD8">
              <w:rPr>
                <w:rFonts w:ascii="Arial" w:hAnsi="Arial" w:cs="Arial"/>
              </w:rPr>
              <w:t xml:space="preserve">Developing the Bucks transport response to major projects </w:t>
            </w:r>
          </w:p>
          <w:p w:rsidR="00B16CDD" w:rsidRPr="00CE0FD8" w:rsidRDefault="00B16CDD" w:rsidP="00B16CDD">
            <w:pPr>
              <w:pStyle w:val="ListParagraph"/>
              <w:numPr>
                <w:ilvl w:val="0"/>
                <w:numId w:val="2"/>
              </w:numPr>
              <w:spacing w:before="40" w:after="40"/>
              <w:rPr>
                <w:rFonts w:ascii="Arial" w:hAnsi="Arial" w:cs="Arial"/>
              </w:rPr>
            </w:pPr>
            <w:r w:rsidRPr="00CE0FD8">
              <w:rPr>
                <w:rFonts w:ascii="Arial" w:hAnsi="Arial" w:cs="Arial"/>
              </w:rPr>
              <w:t xml:space="preserve">Delivering a range of healthy and active travel services </w:t>
            </w:r>
          </w:p>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 xml:space="preserve">Buckinghamshire is a growing county with over 50,000 new homes to be delivered by mid 2030s and three Enterprise Zones to be the focus of the county’s economic growth.  It is in the middle of the Oxford to Cambridge Arc and a founder member of England’s Economic Heartlands.  Buckinghamshire is also affected by several National Strategic Infrastructure Projects which include HS2, East West Rail, </w:t>
            </w:r>
            <w:proofErr w:type="gramStart"/>
            <w:r w:rsidRPr="00CE0FD8">
              <w:rPr>
                <w:rFonts w:ascii="Arial" w:hAnsi="Arial" w:cs="Arial"/>
              </w:rPr>
              <w:t>Western</w:t>
            </w:r>
            <w:proofErr w:type="gramEnd"/>
            <w:r w:rsidRPr="00CE0FD8">
              <w:rPr>
                <w:rFonts w:ascii="Arial" w:hAnsi="Arial" w:cs="Arial"/>
              </w:rPr>
              <w:t xml:space="preserve"> Rail Link to Heathrow, the expansion of Heathrow and a potential Oxford to Cambridge Expressway.  </w:t>
            </w:r>
          </w:p>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The team’s current priorities include</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 xml:space="preserve">Developing our position of the Heathrow Surface Access Strategy to feed into the overall Council position on Heathrow expansion </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 xml:space="preserve">Developing our evidence and response on the DCO process for Western Rail Link to Heathrow </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If our Housing Infrastructure Fund is successful, then meeting grant conditions and ensuring the implementation arrangements are established</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 xml:space="preserve">Supporting local plan adoption through evidence and assessment of representations </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 xml:space="preserve">Developing policy in relation to Low Emissions, Future Mobility and Electric Charging </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Delivering schools travel plans, cycle training, Simply Walks and school crossing patrol services</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 xml:space="preserve">Facilitating the use of government grants to secure implementation of key transport schemes </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 xml:space="preserve">Management of a programme of minor schemes </w:t>
            </w:r>
          </w:p>
          <w:p w:rsidR="00B16CDD" w:rsidRPr="00CE0FD8" w:rsidRDefault="00B16CDD" w:rsidP="00B16CDD">
            <w:pPr>
              <w:pStyle w:val="ListParagraph"/>
              <w:numPr>
                <w:ilvl w:val="0"/>
                <w:numId w:val="3"/>
              </w:numPr>
              <w:spacing w:before="40" w:after="40"/>
              <w:rPr>
                <w:rFonts w:ascii="Arial" w:hAnsi="Arial" w:cs="Arial"/>
              </w:rPr>
            </w:pPr>
            <w:r w:rsidRPr="00CE0FD8">
              <w:rPr>
                <w:rFonts w:ascii="Arial" w:hAnsi="Arial" w:cs="Arial"/>
              </w:rPr>
              <w:t xml:space="preserve">Developing a range of cycle infrastructure schemes </w:t>
            </w:r>
          </w:p>
          <w:p w:rsidR="00B16CDD" w:rsidRPr="00CE0FD8" w:rsidRDefault="00B16CDD" w:rsidP="00C31591">
            <w:pPr>
              <w:spacing w:before="40" w:after="40"/>
              <w:rPr>
                <w:rFonts w:ascii="Arial" w:hAnsi="Arial" w:cs="Arial"/>
              </w:rPr>
            </w:pPr>
          </w:p>
          <w:p w:rsidR="00B16CDD" w:rsidRPr="00CE0FD8" w:rsidRDefault="00B16CDD" w:rsidP="00C31591">
            <w:pPr>
              <w:spacing w:before="40" w:after="40"/>
              <w:rPr>
                <w:rFonts w:ascii="Arial" w:hAnsi="Arial" w:cs="Arial"/>
              </w:rPr>
            </w:pPr>
            <w:r w:rsidRPr="00CE0FD8">
              <w:rPr>
                <w:rFonts w:ascii="Arial" w:hAnsi="Arial" w:cs="Arial"/>
              </w:rPr>
              <w:t>This job summary is not intended to be exhaustive and it is likely that duties may be altered from time to time in the light of changing circumstances, in discussion with the post holder.  This job summary is intended to provide a broad outline of the main responsibilities only.  The post holder will need to be flexible in developing the role with initial and ongoing discussions with the designated manager.</w:t>
            </w:r>
          </w:p>
        </w:tc>
      </w:tr>
    </w:tbl>
    <w:p w:rsidR="00B16CDD" w:rsidRPr="00CE0FD8" w:rsidRDefault="00B16CDD" w:rsidP="00B16CDD">
      <w:pPr>
        <w:spacing w:after="0" w:line="240" w:lineRule="auto"/>
        <w:rPr>
          <w:rFonts w:ascii="Arial" w:hAnsi="Arial" w:cs="Arial"/>
        </w:rPr>
      </w:pPr>
    </w:p>
    <w:p w:rsidR="00E439C8" w:rsidRDefault="00B16CDD"/>
    <w:sectPr w:rsidR="00E4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A8A"/>
    <w:multiLevelType w:val="hybridMultilevel"/>
    <w:tmpl w:val="45F8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D63FE5"/>
    <w:multiLevelType w:val="hybridMultilevel"/>
    <w:tmpl w:val="CEE0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647A2F"/>
    <w:multiLevelType w:val="hybridMultilevel"/>
    <w:tmpl w:val="6D12CF2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DD"/>
    <w:rsid w:val="0017063C"/>
    <w:rsid w:val="001E2990"/>
    <w:rsid w:val="00B1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Einchcomb, Lauren</dc:creator>
  <cp:lastModifiedBy>Einchcomb, Lauren</cp:lastModifiedBy>
  <cp:revision>1</cp:revision>
  <dcterms:created xsi:type="dcterms:W3CDTF">2020-02-28T11:32:00Z</dcterms:created>
  <dcterms:modified xsi:type="dcterms:W3CDTF">2020-02-28T11:33:00Z</dcterms:modified>
</cp:coreProperties>
</file>