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72641" w14:textId="77777777" w:rsidR="00702F72" w:rsidRDefault="00702F72" w:rsidP="008E66F6"/>
    <w:p w14:paraId="552DAAB4" w14:textId="09452595" w:rsidR="00702F72" w:rsidRDefault="00663E0C" w:rsidP="00663E0C">
      <w:pPr>
        <w:spacing w:line="257" w:lineRule="auto"/>
        <w:rPr>
          <w:rFonts w:ascii="Calibri" w:eastAsia="Calibri" w:hAnsi="Calibri" w:cs="Calibri"/>
          <w:i/>
          <w:iCs/>
          <w:color w:val="000000" w:themeColor="text1"/>
        </w:rPr>
      </w:pPr>
      <w:r w:rsidRPr="1380F178">
        <w:rPr>
          <w:rFonts w:ascii="Calibri" w:eastAsia="Calibri" w:hAnsi="Calibri" w:cs="Calibri"/>
          <w:color w:val="000000" w:themeColor="text1"/>
        </w:rPr>
        <w:t>New</w:t>
      </w:r>
      <w:r>
        <w:rPr>
          <w:rFonts w:ascii="Calibri" w:eastAsia="Calibri" w:hAnsi="Calibri" w:cs="Calibri"/>
          <w:color w:val="000000" w:themeColor="text1"/>
        </w:rPr>
        <w:t>s</w:t>
      </w:r>
      <w:r w:rsidRPr="1380F178">
        <w:rPr>
          <w:rFonts w:ascii="Calibri" w:eastAsia="Calibri" w:hAnsi="Calibri" w:cs="Calibri"/>
          <w:color w:val="000000" w:themeColor="text1"/>
        </w:rPr>
        <w:t xml:space="preserve"> Release </w:t>
      </w:r>
      <w:r>
        <w:br/>
      </w:r>
      <w:r>
        <w:rPr>
          <w:rFonts w:ascii="Calibri" w:eastAsia="Calibri" w:hAnsi="Calibri" w:cs="Calibri"/>
          <w:color w:val="000000" w:themeColor="text1"/>
        </w:rPr>
        <w:t>24</w:t>
      </w:r>
      <w:r w:rsidRPr="1380F178">
        <w:rPr>
          <w:rFonts w:ascii="Calibri" w:eastAsia="Calibri" w:hAnsi="Calibri" w:cs="Calibri"/>
          <w:color w:val="000000" w:themeColor="text1"/>
        </w:rPr>
        <w:t xml:space="preserve"> September 2024</w:t>
      </w:r>
      <w:r>
        <w:br/>
      </w:r>
      <w:r w:rsidRPr="1380F178">
        <w:rPr>
          <w:rFonts w:ascii="Calibri" w:eastAsia="Calibri" w:hAnsi="Calibri" w:cs="Calibri"/>
          <w:i/>
          <w:iCs/>
          <w:color w:val="000000" w:themeColor="text1"/>
        </w:rPr>
        <w:t>For immediate use</w:t>
      </w:r>
    </w:p>
    <w:p w14:paraId="2A119648" w14:textId="77777777" w:rsidR="00663E0C" w:rsidRPr="00663E0C" w:rsidRDefault="00663E0C" w:rsidP="00663E0C">
      <w:pPr>
        <w:spacing w:line="257" w:lineRule="auto"/>
        <w:rPr>
          <w:rFonts w:ascii="Aptos" w:eastAsia="Aptos" w:hAnsi="Aptos" w:cs="Aptos"/>
        </w:rPr>
      </w:pPr>
    </w:p>
    <w:p w14:paraId="18A02D08" w14:textId="35A34F80" w:rsidR="00000892" w:rsidRDefault="00F357D0" w:rsidP="008E66F6">
      <w:pPr>
        <w:rPr>
          <w:b/>
          <w:bCs/>
        </w:rPr>
      </w:pPr>
      <w:r>
        <w:rPr>
          <w:b/>
          <w:bCs/>
        </w:rPr>
        <w:t>Q</w:t>
      </w:r>
      <w:r w:rsidR="008E66F6">
        <w:rPr>
          <w:b/>
          <w:bCs/>
        </w:rPr>
        <w:t xml:space="preserve">uality </w:t>
      </w:r>
      <w:r>
        <w:rPr>
          <w:b/>
          <w:bCs/>
        </w:rPr>
        <w:t>M</w:t>
      </w:r>
      <w:r w:rsidR="008E66F6">
        <w:rPr>
          <w:b/>
          <w:bCs/>
        </w:rPr>
        <w:t xml:space="preserve">eat </w:t>
      </w:r>
      <w:r>
        <w:rPr>
          <w:b/>
          <w:bCs/>
        </w:rPr>
        <w:t>S</w:t>
      </w:r>
      <w:r w:rsidR="008E66F6">
        <w:rPr>
          <w:b/>
          <w:bCs/>
        </w:rPr>
        <w:t>cotland</w:t>
      </w:r>
      <w:r>
        <w:rPr>
          <w:b/>
          <w:bCs/>
        </w:rPr>
        <w:t xml:space="preserve"> support</w:t>
      </w:r>
      <w:r w:rsidR="008E66F6">
        <w:rPr>
          <w:b/>
          <w:bCs/>
        </w:rPr>
        <w:t>ing</w:t>
      </w:r>
      <w:r>
        <w:rPr>
          <w:b/>
          <w:bCs/>
        </w:rPr>
        <w:t xml:space="preserve"> </w:t>
      </w:r>
      <w:r w:rsidR="00000892" w:rsidRPr="00000892">
        <w:rPr>
          <w:b/>
          <w:bCs/>
        </w:rPr>
        <w:t xml:space="preserve">PPC </w:t>
      </w:r>
      <w:r w:rsidR="00CA6C30">
        <w:rPr>
          <w:b/>
          <w:bCs/>
        </w:rPr>
        <w:t xml:space="preserve">environmental permit </w:t>
      </w:r>
      <w:r>
        <w:rPr>
          <w:b/>
          <w:bCs/>
        </w:rPr>
        <w:t xml:space="preserve">work </w:t>
      </w:r>
      <w:r w:rsidR="00000892" w:rsidRPr="00000892">
        <w:rPr>
          <w:b/>
          <w:bCs/>
        </w:rPr>
        <w:t xml:space="preserve">in </w:t>
      </w:r>
      <w:r w:rsidR="00CA6C30">
        <w:rPr>
          <w:b/>
          <w:bCs/>
        </w:rPr>
        <w:t xml:space="preserve">Sottish </w:t>
      </w:r>
      <w:r w:rsidR="00000892" w:rsidRPr="00000892">
        <w:rPr>
          <w:b/>
          <w:bCs/>
        </w:rPr>
        <w:t>pig</w:t>
      </w:r>
      <w:r w:rsidR="00CA6C30">
        <w:rPr>
          <w:b/>
          <w:bCs/>
        </w:rPr>
        <w:t xml:space="preserve"> sector</w:t>
      </w:r>
    </w:p>
    <w:p w14:paraId="030E5BB3" w14:textId="320BA16D" w:rsidR="00CA6C30" w:rsidRDefault="00096FAC" w:rsidP="008E66F6">
      <w:r>
        <w:t xml:space="preserve">For larger pig producers, the burden of </w:t>
      </w:r>
      <w:r w:rsidR="009942D5">
        <w:t xml:space="preserve">working with the Pollution Prevention and Control (PPC) regulations </w:t>
      </w:r>
      <w:r w:rsidR="002C18BC">
        <w:t xml:space="preserve">can be considerable. </w:t>
      </w:r>
      <w:r w:rsidR="00BC1010">
        <w:t>Following</w:t>
      </w:r>
      <w:r w:rsidR="002C18BC">
        <w:t xml:space="preserve"> regulations, keeping abreast of changing rules and </w:t>
      </w:r>
      <w:r w:rsidR="00EA50E9">
        <w:t xml:space="preserve">their </w:t>
      </w:r>
      <w:r w:rsidR="002C18BC">
        <w:t xml:space="preserve">interpretation, </w:t>
      </w:r>
      <w:r w:rsidR="00CB0E34">
        <w:t xml:space="preserve">dealing with inspections and maintaining paperwork </w:t>
      </w:r>
      <w:r w:rsidR="00BB5AD8">
        <w:t xml:space="preserve">just add to the </w:t>
      </w:r>
      <w:r w:rsidR="00BC1010">
        <w:t xml:space="preserve">already-considerable </w:t>
      </w:r>
      <w:r w:rsidR="00BB5AD8">
        <w:t>workload of running a successful pig business.</w:t>
      </w:r>
    </w:p>
    <w:p w14:paraId="5308EBDD" w14:textId="4B9FA4E1" w:rsidR="00BB5AD8" w:rsidRDefault="00BB5AD8" w:rsidP="008E66F6">
      <w:r>
        <w:t xml:space="preserve">But for </w:t>
      </w:r>
      <w:r w:rsidR="00187ECC">
        <w:t xml:space="preserve">larger producers in Scotland, an innovative approach </w:t>
      </w:r>
      <w:r w:rsidR="0062159E">
        <w:t xml:space="preserve">involving Scottish Pig Producers, </w:t>
      </w:r>
      <w:r w:rsidR="001A6BC4">
        <w:t xml:space="preserve">NFUS and the QMS Pig Forum, </w:t>
      </w:r>
      <w:r w:rsidR="0015655E">
        <w:t xml:space="preserve">levy-funded </w:t>
      </w:r>
      <w:r w:rsidR="00187ECC">
        <w:t>by Quality Meat Scotland (QMS)</w:t>
      </w:r>
      <w:r w:rsidR="001A6BC4">
        <w:t>,</w:t>
      </w:r>
      <w:r w:rsidR="00187ECC">
        <w:t xml:space="preserve"> is helping to </w:t>
      </w:r>
      <w:r w:rsidR="00C21E67">
        <w:t>ease the burden</w:t>
      </w:r>
      <w:r w:rsidR="001A6BC4">
        <w:t xml:space="preserve">. It is also </w:t>
      </w:r>
      <w:r w:rsidR="00C21E67">
        <w:t xml:space="preserve">helping the sector work as one </w:t>
      </w:r>
      <w:r w:rsidR="0016728D">
        <w:t xml:space="preserve">cohesive body </w:t>
      </w:r>
      <w:r w:rsidR="00C21E67">
        <w:t>with the Scottish Environmental Protection Agency (SEPA).</w:t>
      </w:r>
      <w:r w:rsidR="004D0BF3">
        <w:t xml:space="preserve"> </w:t>
      </w:r>
    </w:p>
    <w:p w14:paraId="022AEE1F" w14:textId="21B4F934" w:rsidR="008F62AE" w:rsidRDefault="002770C0" w:rsidP="008E66F6">
      <w:r>
        <w:t xml:space="preserve">For some years now, Perth-based environmental consultancy Johnson Allan has been </w:t>
      </w:r>
      <w:r w:rsidR="00D75694">
        <w:t xml:space="preserve">contracted </w:t>
      </w:r>
      <w:r w:rsidR="00000892" w:rsidRPr="00000892">
        <w:t xml:space="preserve">by QMS to assist Scottish </w:t>
      </w:r>
      <w:r w:rsidR="00D75694">
        <w:t>p</w:t>
      </w:r>
      <w:r w:rsidR="00000892" w:rsidRPr="00000892">
        <w:t xml:space="preserve">ig </w:t>
      </w:r>
      <w:r w:rsidR="00D75694">
        <w:t>p</w:t>
      </w:r>
      <w:r w:rsidR="00000892" w:rsidRPr="00000892">
        <w:t xml:space="preserve">roducers </w:t>
      </w:r>
      <w:r w:rsidR="00301884">
        <w:t xml:space="preserve">in </w:t>
      </w:r>
      <w:r w:rsidR="00000892" w:rsidRPr="00000892">
        <w:t>obtain</w:t>
      </w:r>
      <w:r w:rsidR="00301884">
        <w:t>ing</w:t>
      </w:r>
      <w:r w:rsidR="00000892" w:rsidRPr="00000892">
        <w:t xml:space="preserve"> and maintain</w:t>
      </w:r>
      <w:r w:rsidR="00301884">
        <w:t xml:space="preserve">ing PPC </w:t>
      </w:r>
      <w:r w:rsidR="00000892" w:rsidRPr="00000892">
        <w:t xml:space="preserve">permits, which are required under the PPC regulations. </w:t>
      </w:r>
      <w:r w:rsidR="00D20E88">
        <w:t xml:space="preserve">For </w:t>
      </w:r>
      <w:r w:rsidR="00B7068C">
        <w:t xml:space="preserve">Julie </w:t>
      </w:r>
      <w:r w:rsidR="002D29AC">
        <w:t>Allan</w:t>
      </w:r>
      <w:r w:rsidR="00B7068C">
        <w:t xml:space="preserve">, director of Johnson Allan, it’s </w:t>
      </w:r>
      <w:r w:rsidR="00D20E88">
        <w:t xml:space="preserve">been a long-term </w:t>
      </w:r>
      <w:r w:rsidR="00320925">
        <w:t>project.</w:t>
      </w:r>
    </w:p>
    <w:p w14:paraId="45384BA4" w14:textId="430C9B26" w:rsidR="00257738" w:rsidRDefault="00320925" w:rsidP="008E66F6">
      <w:r>
        <w:t>“</w:t>
      </w:r>
      <w:r w:rsidR="00EE50D2">
        <w:t xml:space="preserve">I </w:t>
      </w:r>
      <w:r w:rsidR="00871193">
        <w:t>started working on PPC in the pig sector when it first came in, during the 2000s.</w:t>
      </w:r>
      <w:r w:rsidR="00703308">
        <w:t xml:space="preserve"> We </w:t>
      </w:r>
      <w:r w:rsidR="00257738">
        <w:t xml:space="preserve">initially </w:t>
      </w:r>
      <w:r w:rsidR="00703308">
        <w:t>visited farms to see whether they fell in the scope of the legislation</w:t>
      </w:r>
      <w:r w:rsidR="00257738">
        <w:t>, and I have been involved ever since</w:t>
      </w:r>
      <w:r w:rsidR="00972152">
        <w:t>, though the regulations and their interpretation have changed a fair bit during that time</w:t>
      </w:r>
      <w:r w:rsidR="00257738">
        <w:t>.</w:t>
      </w:r>
    </w:p>
    <w:p w14:paraId="649A895A" w14:textId="3372D8C9" w:rsidR="00257738" w:rsidRDefault="00257738" w:rsidP="008E66F6">
      <w:r>
        <w:t>“</w:t>
      </w:r>
      <w:r w:rsidR="00972152">
        <w:t>We are contracted to QMS so that if any Scottish pig producer is considering expanding</w:t>
      </w:r>
      <w:r w:rsidR="00407614">
        <w:t xml:space="preserve"> or changing anything, we are there to </w:t>
      </w:r>
      <w:r w:rsidR="00311DE8">
        <w:t>help as it’s not a straightforward proce</w:t>
      </w:r>
      <w:r w:rsidR="00EF280F">
        <w:t>ss.”</w:t>
      </w:r>
    </w:p>
    <w:p w14:paraId="1F28B694" w14:textId="4F885328" w:rsidR="00D266AA" w:rsidRDefault="001E128D" w:rsidP="00304DE3">
      <w:r>
        <w:t xml:space="preserve">When a pig business reaches the PPC threshold </w:t>
      </w:r>
      <w:r w:rsidR="00304DE3">
        <w:t xml:space="preserve">of </w:t>
      </w:r>
      <w:r w:rsidR="00304DE3" w:rsidRPr="00E5453C">
        <w:t xml:space="preserve">2,000 </w:t>
      </w:r>
      <w:r w:rsidR="00304DE3">
        <w:t xml:space="preserve">or more </w:t>
      </w:r>
      <w:r w:rsidR="00304DE3" w:rsidRPr="00E5453C">
        <w:t>pigs over 30k</w:t>
      </w:r>
      <w:r w:rsidR="00304DE3">
        <w:t>g</w:t>
      </w:r>
      <w:r w:rsidR="003B3E5D">
        <w:t xml:space="preserve">, </w:t>
      </w:r>
      <w:r w:rsidR="00304DE3">
        <w:t xml:space="preserve">or </w:t>
      </w:r>
      <w:r w:rsidR="00304DE3" w:rsidRPr="00E5453C">
        <w:t xml:space="preserve">750 </w:t>
      </w:r>
      <w:r w:rsidR="00304DE3">
        <w:t>or more breeding sows</w:t>
      </w:r>
      <w:r w:rsidR="003B3E5D">
        <w:t xml:space="preserve">, producers have to apply for a PPC permit. They pay the </w:t>
      </w:r>
      <w:r w:rsidR="00F75EF4">
        <w:t xml:space="preserve">application fee and ongoing subscription fee, </w:t>
      </w:r>
      <w:r w:rsidR="000D22B9">
        <w:t xml:space="preserve">but the work </w:t>
      </w:r>
      <w:r w:rsidR="00216143">
        <w:t xml:space="preserve">to apply </w:t>
      </w:r>
      <w:r w:rsidR="000A23C2">
        <w:t xml:space="preserve">for </w:t>
      </w:r>
      <w:r w:rsidR="00AB3051">
        <w:t>th</w:t>
      </w:r>
      <w:r w:rsidR="00216143">
        <w:t>e permit</w:t>
      </w:r>
      <w:r w:rsidR="00E27E9F">
        <w:t xml:space="preserve"> and </w:t>
      </w:r>
      <w:r w:rsidR="007B4068">
        <w:t xml:space="preserve">assist with its maintenance </w:t>
      </w:r>
      <w:r w:rsidR="00216143">
        <w:t xml:space="preserve">is done by Johnson Allan, funded by </w:t>
      </w:r>
      <w:r w:rsidR="00284BB0">
        <w:t>QMS.</w:t>
      </w:r>
      <w:r w:rsidR="00D266AA">
        <w:t xml:space="preserve"> </w:t>
      </w:r>
      <w:r w:rsidR="0005678C">
        <w:t>There are currently 16 pig producers who are PPC permit holders in Scotland.</w:t>
      </w:r>
    </w:p>
    <w:p w14:paraId="7542EAC2" w14:textId="6FEA5F6C" w:rsidR="00D266AA" w:rsidRDefault="00BA3690" w:rsidP="00304DE3">
      <w:r>
        <w:t>“</w:t>
      </w:r>
      <w:r w:rsidR="00B81C01">
        <w:t>P</w:t>
      </w:r>
      <w:r w:rsidR="006025C1">
        <w:t xml:space="preserve">roducers </w:t>
      </w:r>
      <w:r w:rsidR="00B81C01">
        <w:t xml:space="preserve">often </w:t>
      </w:r>
      <w:r w:rsidR="006025C1">
        <w:t>perceive the application as very involved, and it can get complicated</w:t>
      </w:r>
      <w:r w:rsidR="00744DB5">
        <w:t xml:space="preserve"> because of the need to look at areas such as atmospheric impact</w:t>
      </w:r>
      <w:r w:rsidR="008A2B11">
        <w:t xml:space="preserve">. We also </w:t>
      </w:r>
      <w:r w:rsidR="00DD58FF">
        <w:t>obtain annual updated figures from every PPC permit holder</w:t>
      </w:r>
      <w:r w:rsidR="00D0392F">
        <w:t>,</w:t>
      </w:r>
      <w:r w:rsidR="00694DFD">
        <w:t xml:space="preserve"> so part of my job is chasing those numbers and making sure we have them,</w:t>
      </w:r>
      <w:r w:rsidR="00D0392F">
        <w:t>” says Julie.</w:t>
      </w:r>
    </w:p>
    <w:p w14:paraId="5954138F" w14:textId="11C0274B" w:rsidR="0086752E" w:rsidRDefault="0086752E" w:rsidP="00707457">
      <w:r>
        <w:t xml:space="preserve">The data collected for each </w:t>
      </w:r>
      <w:r w:rsidR="00707457" w:rsidRPr="00000892">
        <w:t xml:space="preserve">PPC </w:t>
      </w:r>
      <w:r>
        <w:t xml:space="preserve">pig </w:t>
      </w:r>
      <w:r w:rsidR="00707457" w:rsidRPr="00000892">
        <w:t>unit</w:t>
      </w:r>
      <w:r>
        <w:t xml:space="preserve"> includes:</w:t>
      </w:r>
    </w:p>
    <w:p w14:paraId="266A5962" w14:textId="77777777" w:rsidR="0086752E" w:rsidRDefault="0086752E" w:rsidP="0086752E">
      <w:pPr>
        <w:pStyle w:val="ListParagraph"/>
        <w:numPr>
          <w:ilvl w:val="0"/>
          <w:numId w:val="10"/>
        </w:numPr>
      </w:pPr>
      <w:r>
        <w:t>P</w:t>
      </w:r>
      <w:r w:rsidR="00707457" w:rsidRPr="00000892">
        <w:t>ig capacity (based on minimum welfare standards)</w:t>
      </w:r>
      <w:r>
        <w:t>;</w:t>
      </w:r>
    </w:p>
    <w:p w14:paraId="3696D885" w14:textId="32293785" w:rsidR="0086752E" w:rsidRDefault="0086752E" w:rsidP="0086752E">
      <w:pPr>
        <w:pStyle w:val="ListParagraph"/>
        <w:numPr>
          <w:ilvl w:val="0"/>
          <w:numId w:val="10"/>
        </w:numPr>
      </w:pPr>
      <w:r>
        <w:t>P</w:t>
      </w:r>
      <w:r w:rsidR="00707457" w:rsidRPr="00000892">
        <w:t>roduction (number of pigs)</w:t>
      </w:r>
      <w:r>
        <w:t>;</w:t>
      </w:r>
    </w:p>
    <w:p w14:paraId="34EADC08" w14:textId="77777777" w:rsidR="0086752E" w:rsidRDefault="0086752E" w:rsidP="00713D1C">
      <w:pPr>
        <w:pStyle w:val="ListParagraph"/>
        <w:numPr>
          <w:ilvl w:val="0"/>
          <w:numId w:val="5"/>
        </w:numPr>
      </w:pPr>
      <w:r>
        <w:t>A</w:t>
      </w:r>
      <w:r w:rsidR="00707457" w:rsidRPr="00000892">
        <w:t xml:space="preserve">mmonia </w:t>
      </w:r>
      <w:r>
        <w:t xml:space="preserve">and methane </w:t>
      </w:r>
      <w:r w:rsidR="00707457" w:rsidRPr="00000892">
        <w:t>emissions</w:t>
      </w:r>
      <w:r>
        <w:t>;</w:t>
      </w:r>
    </w:p>
    <w:p w14:paraId="392DDEC6" w14:textId="66696DC7" w:rsidR="0086752E" w:rsidRDefault="0086752E" w:rsidP="0086752E">
      <w:pPr>
        <w:pStyle w:val="ListParagraph"/>
        <w:numPr>
          <w:ilvl w:val="0"/>
          <w:numId w:val="5"/>
        </w:numPr>
      </w:pPr>
      <w:r>
        <w:t>E</w:t>
      </w:r>
      <w:r w:rsidR="00707457" w:rsidRPr="00000892">
        <w:t>nergy consumption (and renewables production)</w:t>
      </w:r>
      <w:r>
        <w:t>;</w:t>
      </w:r>
    </w:p>
    <w:p w14:paraId="6D3F05F3" w14:textId="13B01D87" w:rsidR="0086752E" w:rsidRDefault="0086752E" w:rsidP="0086752E">
      <w:pPr>
        <w:pStyle w:val="ListParagraph"/>
        <w:numPr>
          <w:ilvl w:val="0"/>
          <w:numId w:val="5"/>
        </w:numPr>
      </w:pPr>
      <w:r>
        <w:t>W</w:t>
      </w:r>
      <w:r w:rsidR="00707457" w:rsidRPr="00000892">
        <w:t>ater consumption</w:t>
      </w:r>
      <w:r>
        <w:t>;</w:t>
      </w:r>
    </w:p>
    <w:p w14:paraId="0CF2CD46" w14:textId="75A54BCC" w:rsidR="0086752E" w:rsidRDefault="0086752E" w:rsidP="0086752E">
      <w:pPr>
        <w:pStyle w:val="ListParagraph"/>
        <w:numPr>
          <w:ilvl w:val="0"/>
          <w:numId w:val="5"/>
        </w:numPr>
      </w:pPr>
      <w:r>
        <w:t>W</w:t>
      </w:r>
      <w:r w:rsidR="00707457" w:rsidRPr="00000892">
        <w:t>aste production (including livestock wastes)</w:t>
      </w:r>
      <w:r>
        <w:t>;</w:t>
      </w:r>
    </w:p>
    <w:p w14:paraId="7AD34493" w14:textId="1F59CDFD" w:rsidR="00707457" w:rsidRPr="00000892" w:rsidRDefault="0086752E" w:rsidP="0086752E">
      <w:pPr>
        <w:pStyle w:val="ListParagraph"/>
        <w:numPr>
          <w:ilvl w:val="0"/>
          <w:numId w:val="5"/>
        </w:numPr>
      </w:pPr>
      <w:r>
        <w:t>R</w:t>
      </w:r>
      <w:r w:rsidR="00707457" w:rsidRPr="00000892">
        <w:t>aw material consumption</w:t>
      </w:r>
      <w:r w:rsidR="003676A0">
        <w:t>.</w:t>
      </w:r>
    </w:p>
    <w:p w14:paraId="60BD4D8C" w14:textId="77777777" w:rsidR="00702F72" w:rsidRDefault="00702F72" w:rsidP="00707457"/>
    <w:p w14:paraId="25727D0E" w14:textId="77777777" w:rsidR="00702F72" w:rsidRDefault="00702F72" w:rsidP="00707457"/>
    <w:p w14:paraId="15FAAAD3" w14:textId="343446DF" w:rsidR="00707457" w:rsidRDefault="003676A0" w:rsidP="00707457">
      <w:r>
        <w:t>“</w:t>
      </w:r>
      <w:r w:rsidR="00707457" w:rsidRPr="00000892">
        <w:t>We are also starting to build up data relating to water</w:t>
      </w:r>
      <w:r>
        <w:t xml:space="preserve"> and </w:t>
      </w:r>
      <w:r w:rsidR="00707457" w:rsidRPr="00000892">
        <w:t>soil quality round each unit – nitrates, ammoniacal nitrogen and orthophosphate</w:t>
      </w:r>
      <w:r>
        <w:t>,” she says</w:t>
      </w:r>
      <w:r w:rsidR="00707457" w:rsidRPr="00000892">
        <w:t>.</w:t>
      </w:r>
    </w:p>
    <w:p w14:paraId="0F1B6160" w14:textId="14EB4E7C" w:rsidR="001D193A" w:rsidRDefault="00FF5975" w:rsidP="00707457">
      <w:r>
        <w:t>Having one central point -</w:t>
      </w:r>
      <w:r w:rsidR="003A114C">
        <w:t xml:space="preserve"> Johnson Allan </w:t>
      </w:r>
      <w:r>
        <w:t xml:space="preserve">- </w:t>
      </w:r>
      <w:r w:rsidR="003A114C">
        <w:t xml:space="preserve">co-ordinating </w:t>
      </w:r>
      <w:r w:rsidR="009E0E07">
        <w:t xml:space="preserve">the PPC </w:t>
      </w:r>
      <w:r w:rsidR="00FE32A9">
        <w:t>information</w:t>
      </w:r>
      <w:r w:rsidR="009E0E07">
        <w:t xml:space="preserve"> from Scotland’s pig producers</w:t>
      </w:r>
      <w:r w:rsidR="00F327BC">
        <w:t xml:space="preserve"> means </w:t>
      </w:r>
      <w:r w:rsidR="008A1323">
        <w:t xml:space="preserve">the sector has </w:t>
      </w:r>
      <w:r w:rsidR="00F327BC">
        <w:t>a consistent approach to the legislation</w:t>
      </w:r>
      <w:r w:rsidR="008A1323">
        <w:t xml:space="preserve">. </w:t>
      </w:r>
      <w:r w:rsidR="00594788">
        <w:t>This has led to a good working relationship with SEPA</w:t>
      </w:r>
      <w:r w:rsidR="00A907C7">
        <w:t>, with regular meetings</w:t>
      </w:r>
      <w:r w:rsidR="003C5128">
        <w:t xml:space="preserve"> and the opportunity to </w:t>
      </w:r>
      <w:r w:rsidR="00546700">
        <w:t xml:space="preserve">discuss </w:t>
      </w:r>
      <w:r w:rsidR="00E02F2B">
        <w:t xml:space="preserve">regulation </w:t>
      </w:r>
      <w:r w:rsidR="00546700">
        <w:t xml:space="preserve">changes </w:t>
      </w:r>
      <w:r w:rsidR="00677A80">
        <w:t>or updates and how they might be interpreted</w:t>
      </w:r>
      <w:r w:rsidR="001D193A">
        <w:t>.</w:t>
      </w:r>
    </w:p>
    <w:p w14:paraId="1D8A419A" w14:textId="77777777" w:rsidR="00E13B5E" w:rsidRDefault="001D193A" w:rsidP="00707457">
      <w:r>
        <w:t>“</w:t>
      </w:r>
      <w:r w:rsidR="00E02F2B">
        <w:t>This</w:t>
      </w:r>
      <w:r>
        <w:t xml:space="preserve"> mean</w:t>
      </w:r>
      <w:r w:rsidR="004D605E">
        <w:t>s</w:t>
      </w:r>
      <w:r>
        <w:t xml:space="preserve"> we </w:t>
      </w:r>
      <w:r w:rsidR="00563A2D">
        <w:t xml:space="preserve">can understand requirements and </w:t>
      </w:r>
      <w:r>
        <w:t xml:space="preserve">give </w:t>
      </w:r>
      <w:r w:rsidR="00367E89">
        <w:t>help and guidance to producers</w:t>
      </w:r>
      <w:r w:rsidR="00E13B5E">
        <w:t>, as well as preparing the industry for change</w:t>
      </w:r>
      <w:r w:rsidR="007121D0">
        <w:t xml:space="preserve">. </w:t>
      </w:r>
    </w:p>
    <w:p w14:paraId="64A4A6B9" w14:textId="40E49221" w:rsidR="00EA7B03" w:rsidRDefault="00E13B5E" w:rsidP="00707457">
      <w:r>
        <w:t>“</w:t>
      </w:r>
      <w:r w:rsidR="007121D0">
        <w:t>W</w:t>
      </w:r>
      <w:r w:rsidR="001D193A">
        <w:t xml:space="preserve">e also </w:t>
      </w:r>
      <w:r w:rsidR="00A7002C">
        <w:t xml:space="preserve">go </w:t>
      </w:r>
      <w:r w:rsidR="007121D0">
        <w:t xml:space="preserve">along </w:t>
      </w:r>
      <w:r w:rsidR="007957D0">
        <w:t>on</w:t>
      </w:r>
      <w:r w:rsidR="000E7459">
        <w:t xml:space="preserve"> </w:t>
      </w:r>
      <w:r w:rsidR="007957D0">
        <w:t>site</w:t>
      </w:r>
      <w:r w:rsidR="007121D0">
        <w:t xml:space="preserve"> visit</w:t>
      </w:r>
      <w:r w:rsidR="00A7002C">
        <w:t xml:space="preserve">s when SEPA </w:t>
      </w:r>
      <w:r w:rsidR="007121D0">
        <w:t>is there if farmers ask us to, and again</w:t>
      </w:r>
      <w:r w:rsidR="004D3CDD">
        <w:t>, this leads to a good, consistent approach</w:t>
      </w:r>
      <w:r w:rsidR="007121D0">
        <w:t>.</w:t>
      </w:r>
      <w:r w:rsidR="007731A2">
        <w:t xml:space="preserve"> In some cases, it can </w:t>
      </w:r>
      <w:r w:rsidR="00D271CD" w:rsidRPr="00000892">
        <w:t>avoid unnecessary capital expenditure if other producers are not required to implement similar solutions</w:t>
      </w:r>
      <w:r w:rsidR="007731A2">
        <w:t>.”</w:t>
      </w:r>
    </w:p>
    <w:p w14:paraId="083FB329" w14:textId="50829477" w:rsidR="00EA7B03" w:rsidRDefault="009D320D" w:rsidP="00707457">
      <w:r>
        <w:t xml:space="preserve">Because Julie and her fellow director Elaine Johnson </w:t>
      </w:r>
      <w:r w:rsidR="006716E1">
        <w:t xml:space="preserve">specialise in environmental consultancy, they </w:t>
      </w:r>
      <w:r w:rsidR="00776F6B">
        <w:t>have a</w:t>
      </w:r>
      <w:r w:rsidR="00DD4DE2">
        <w:t xml:space="preserve"> wide range of contacts in the sector which helps in keeping up with latest developments. This is particularly </w:t>
      </w:r>
      <w:r w:rsidR="00BF7EF3">
        <w:t>useful</w:t>
      </w:r>
      <w:r w:rsidR="00DD4DE2">
        <w:t xml:space="preserve"> where farmers </w:t>
      </w:r>
      <w:r w:rsidR="005D4BA9">
        <w:t xml:space="preserve">have </w:t>
      </w:r>
      <w:r w:rsidR="00DD4DE2">
        <w:t xml:space="preserve">to </w:t>
      </w:r>
      <w:r w:rsidR="00872D88">
        <w:t xml:space="preserve">use ‘Best Available Technology’ (BAT) to mitigate environmental </w:t>
      </w:r>
      <w:r w:rsidR="00B848D2">
        <w:t>risks.</w:t>
      </w:r>
    </w:p>
    <w:p w14:paraId="07074A07" w14:textId="35541B08" w:rsidR="00B848D2" w:rsidRDefault="008472CB" w:rsidP="00707457">
      <w:r>
        <w:t xml:space="preserve">A consistent </w:t>
      </w:r>
      <w:r w:rsidR="009225C6">
        <w:t>way of</w:t>
      </w:r>
      <w:r>
        <w:t xml:space="preserve"> implementing </w:t>
      </w:r>
      <w:r w:rsidRPr="00000892">
        <w:t xml:space="preserve">BAT throughout </w:t>
      </w:r>
      <w:r>
        <w:t>Scot</w:t>
      </w:r>
      <w:r w:rsidR="004D4878">
        <w:t>land</w:t>
      </w:r>
      <w:r w:rsidRPr="00000892">
        <w:t xml:space="preserve"> </w:t>
      </w:r>
      <w:r w:rsidR="007F7CFD">
        <w:t xml:space="preserve">has led to </w:t>
      </w:r>
      <w:r>
        <w:t>a</w:t>
      </w:r>
      <w:r w:rsidRPr="00000892">
        <w:t xml:space="preserve"> gradual improvement in environmental performance across </w:t>
      </w:r>
      <w:r w:rsidR="004D4878">
        <w:t>the sector</w:t>
      </w:r>
      <w:r w:rsidR="00F32C65">
        <w:t>, she says</w:t>
      </w:r>
      <w:r w:rsidRPr="00000892">
        <w:t>.</w:t>
      </w:r>
      <w:r w:rsidR="004D4878">
        <w:t xml:space="preserve"> </w:t>
      </w:r>
      <w:r w:rsidR="00B848D2">
        <w:t>“Some BAT requirements are common sense, such as covering slurry stores, but</w:t>
      </w:r>
      <w:r w:rsidR="00DE078C">
        <w:t xml:space="preserve"> </w:t>
      </w:r>
      <w:r w:rsidR="006C2D5E">
        <w:t>some of the new technology can be very expensive</w:t>
      </w:r>
      <w:r w:rsidR="001C5419">
        <w:t xml:space="preserve">. Our </w:t>
      </w:r>
      <w:r w:rsidR="00E5787D">
        <w:t xml:space="preserve">network means we </w:t>
      </w:r>
      <w:r w:rsidR="00F32C65">
        <w:t>also</w:t>
      </w:r>
      <w:r w:rsidR="00E5787D">
        <w:t xml:space="preserve"> hear of new technology which is being </w:t>
      </w:r>
      <w:r w:rsidR="0078717A">
        <w:t xml:space="preserve">used but </w:t>
      </w:r>
      <w:r w:rsidR="00F32C65">
        <w:t>is less</w:t>
      </w:r>
      <w:r w:rsidR="0078717A">
        <w:t xml:space="preserve"> successful</w:t>
      </w:r>
      <w:r w:rsidR="00142655">
        <w:t xml:space="preserve">, so we can let producers and SEPA know </w:t>
      </w:r>
      <w:r w:rsidR="00B44FF3">
        <w:t xml:space="preserve">about the best, most practical </w:t>
      </w:r>
      <w:r w:rsidR="00142655">
        <w:t>option</w:t>
      </w:r>
      <w:r w:rsidR="00B44FF3">
        <w:t>s</w:t>
      </w:r>
      <w:r w:rsidR="00142655">
        <w:t>.”</w:t>
      </w:r>
      <w:r w:rsidR="006C2D5E">
        <w:t xml:space="preserve"> </w:t>
      </w:r>
    </w:p>
    <w:p w14:paraId="3A29FEC0" w14:textId="5BB9F146" w:rsidR="003204AA" w:rsidRPr="00000892" w:rsidRDefault="003204AA" w:rsidP="00707ABF">
      <w:r>
        <w:t>The c</w:t>
      </w:r>
      <w:r w:rsidRPr="00000892">
        <w:t xml:space="preserve">entralised </w:t>
      </w:r>
      <w:r w:rsidR="00F90DA4">
        <w:t>approach</w:t>
      </w:r>
      <w:r w:rsidRPr="00000892">
        <w:t xml:space="preserve"> </w:t>
      </w:r>
      <w:r w:rsidR="00FA1406">
        <w:t xml:space="preserve">also </w:t>
      </w:r>
      <w:r w:rsidR="00F90DA4">
        <w:t>a</w:t>
      </w:r>
      <w:r w:rsidRPr="00000892">
        <w:t>voids the need for producers to individually employ and pay for specialists</w:t>
      </w:r>
      <w:r w:rsidR="00F90DA4">
        <w:t>, for instance, for</w:t>
      </w:r>
      <w:r w:rsidRPr="00000892">
        <w:t xml:space="preserve"> resource efficiency audits</w:t>
      </w:r>
      <w:r w:rsidR="00707ABF">
        <w:t xml:space="preserve"> or</w:t>
      </w:r>
      <w:r w:rsidRPr="00000892">
        <w:t xml:space="preserve"> emissions reporting</w:t>
      </w:r>
      <w:r w:rsidR="00707ABF">
        <w:t>, and means r</w:t>
      </w:r>
      <w:r w:rsidRPr="00000892">
        <w:t xml:space="preserve">eporting </w:t>
      </w:r>
      <w:r w:rsidR="00707ABF">
        <w:t xml:space="preserve">is </w:t>
      </w:r>
      <w:r w:rsidRPr="00000892">
        <w:t>completed on time</w:t>
      </w:r>
      <w:r w:rsidR="00707ABF">
        <w:t xml:space="preserve">, </w:t>
      </w:r>
      <w:r w:rsidR="00996F07">
        <w:t xml:space="preserve">which is crucial for </w:t>
      </w:r>
      <w:r w:rsidRPr="00000892">
        <w:t>compliance.</w:t>
      </w:r>
    </w:p>
    <w:p w14:paraId="2512657E" w14:textId="310CFDAA" w:rsidR="00602406" w:rsidRPr="00000892" w:rsidRDefault="00930EEE" w:rsidP="00602406">
      <w:r>
        <w:t xml:space="preserve">Timeliness is one of the areas </w:t>
      </w:r>
      <w:r w:rsidR="001128A3">
        <w:t xml:space="preserve">which has sometimes proved a challenge, she adds. “It is sometimes </w:t>
      </w:r>
      <w:r w:rsidR="00D4253B">
        <w:t>quite hard to get</w:t>
      </w:r>
      <w:r w:rsidR="00602406" w:rsidRPr="00000892">
        <w:t xml:space="preserve"> relevant, accurate information for reports from operators on time</w:t>
      </w:r>
      <w:r w:rsidR="00D4253B">
        <w:t xml:space="preserve">. And the other issue is </w:t>
      </w:r>
      <w:r w:rsidR="00602406" w:rsidRPr="00000892">
        <w:t xml:space="preserve">ensuring we are appraised of changes to sites </w:t>
      </w:r>
      <w:r w:rsidR="00D4253B">
        <w:t xml:space="preserve">before </w:t>
      </w:r>
      <w:r w:rsidR="00602406" w:rsidRPr="00000892">
        <w:t>they are completed</w:t>
      </w:r>
      <w:r w:rsidR="00D4253B">
        <w:t xml:space="preserve"> or </w:t>
      </w:r>
      <w:r w:rsidR="00602406" w:rsidRPr="00000892">
        <w:t>installed</w:t>
      </w:r>
      <w:r w:rsidR="00D4253B">
        <w:t xml:space="preserve"> – it’s much easier to advise </w:t>
      </w:r>
      <w:r w:rsidR="00A82363">
        <w:t>when we are involved from the start!”</w:t>
      </w:r>
    </w:p>
    <w:p w14:paraId="1FFF035D" w14:textId="704F8341" w:rsidR="003676A0" w:rsidRPr="00000892" w:rsidRDefault="004B66E8" w:rsidP="00707457">
      <w:r>
        <w:t xml:space="preserve">QMS pig specialist Allan Ward </w:t>
      </w:r>
      <w:r w:rsidR="004C5A7D">
        <w:t xml:space="preserve">says he and Scotland’s pig producers appreciate </w:t>
      </w:r>
      <w:r w:rsidR="00DE4F39">
        <w:t>being able to rely on a central, specialised</w:t>
      </w:r>
      <w:r w:rsidR="00E41384">
        <w:t>, levy-funded</w:t>
      </w:r>
      <w:r w:rsidR="00DE4F39">
        <w:t xml:space="preserve"> resource for PPC</w:t>
      </w:r>
      <w:r w:rsidR="005D1BD4">
        <w:t>. “</w:t>
      </w:r>
      <w:r w:rsidR="00493BA7">
        <w:t>They have great expertise</w:t>
      </w:r>
      <w:r w:rsidR="00754EB3">
        <w:t>, and it has also meant we have good</w:t>
      </w:r>
      <w:r w:rsidR="006660B8">
        <w:t xml:space="preserve"> discussions</w:t>
      </w:r>
      <w:r w:rsidR="00754EB3">
        <w:t xml:space="preserve"> with SEPA</w:t>
      </w:r>
      <w:r w:rsidR="006660B8">
        <w:t xml:space="preserve"> where we are able to put forward any concerns.</w:t>
      </w:r>
      <w:r w:rsidR="007C4BB9">
        <w:t xml:space="preserve"> PPC is a minefield, and </w:t>
      </w:r>
      <w:r w:rsidR="00721078">
        <w:t xml:space="preserve">producers really value </w:t>
      </w:r>
      <w:r w:rsidR="00E41384">
        <w:t>this approach.”</w:t>
      </w:r>
    </w:p>
    <w:p w14:paraId="52CFF35D" w14:textId="758F4F7A" w:rsidR="00A32563" w:rsidRPr="006B3FD7" w:rsidRDefault="00304DE3" w:rsidP="008E66F6">
      <w:pPr>
        <w:rPr>
          <w:b/>
          <w:bCs/>
        </w:rPr>
      </w:pPr>
      <w:r w:rsidRPr="006B3FD7">
        <w:rPr>
          <w:b/>
          <w:bCs/>
        </w:rPr>
        <w:t xml:space="preserve"> </w:t>
      </w:r>
      <w:r w:rsidR="006B3FD7" w:rsidRPr="006B3FD7">
        <w:rPr>
          <w:b/>
          <w:bCs/>
        </w:rPr>
        <w:t>-ENDS-</w:t>
      </w:r>
    </w:p>
    <w:p w14:paraId="086BFF90" w14:textId="26F29C97" w:rsidR="00000892" w:rsidRPr="00C65C68" w:rsidRDefault="003909B6" w:rsidP="008E66F6">
      <w:pPr>
        <w:rPr>
          <w:b/>
          <w:bCs/>
        </w:rPr>
      </w:pPr>
      <w:r w:rsidRPr="00C65C68">
        <w:rPr>
          <w:b/>
          <w:bCs/>
        </w:rPr>
        <w:t xml:space="preserve">What </w:t>
      </w:r>
      <w:r w:rsidR="008F62AE" w:rsidRPr="00C65C68">
        <w:rPr>
          <w:b/>
          <w:bCs/>
        </w:rPr>
        <w:t>Johnson Allan</w:t>
      </w:r>
      <w:r w:rsidR="00C65C68" w:rsidRPr="00C65C68">
        <w:rPr>
          <w:b/>
          <w:bCs/>
        </w:rPr>
        <w:t xml:space="preserve"> does – funded by QMS:</w:t>
      </w:r>
      <w:r w:rsidR="008F62AE" w:rsidRPr="00C65C68">
        <w:rPr>
          <w:b/>
          <w:bCs/>
        </w:rPr>
        <w:t xml:space="preserve"> </w:t>
      </w:r>
    </w:p>
    <w:p w14:paraId="3237DBF4" w14:textId="5F22E761" w:rsidR="00000892" w:rsidRPr="00000892" w:rsidRDefault="00000892" w:rsidP="008E66F6">
      <w:pPr>
        <w:numPr>
          <w:ilvl w:val="0"/>
          <w:numId w:val="1"/>
        </w:numPr>
      </w:pPr>
      <w:r w:rsidRPr="00000892">
        <w:t>Assis</w:t>
      </w:r>
      <w:r w:rsidR="00C65C68">
        <w:t>ts</w:t>
      </w:r>
      <w:r w:rsidRPr="00000892">
        <w:t xml:space="preserve"> with PPC permit applications, variations, and surrenders</w:t>
      </w:r>
      <w:r w:rsidR="00FB419F">
        <w:t>;</w:t>
      </w:r>
    </w:p>
    <w:p w14:paraId="23FDF2AA" w14:textId="7EBAFD98" w:rsidR="00000892" w:rsidRPr="00000892" w:rsidRDefault="00000892" w:rsidP="008E66F6">
      <w:pPr>
        <w:numPr>
          <w:ilvl w:val="0"/>
          <w:numId w:val="1"/>
        </w:numPr>
      </w:pPr>
      <w:r w:rsidRPr="00000892">
        <w:t>Provi</w:t>
      </w:r>
      <w:r w:rsidR="00E70EB0">
        <w:t>d</w:t>
      </w:r>
      <w:r w:rsidR="00C65C68">
        <w:t>es</w:t>
      </w:r>
      <w:r w:rsidRPr="00000892">
        <w:t xml:space="preserve"> practical site-specific advice including assistance with </w:t>
      </w:r>
      <w:r w:rsidR="00EF280F">
        <w:t>B</w:t>
      </w:r>
      <w:r w:rsidRPr="00000892">
        <w:t xml:space="preserve">est </w:t>
      </w:r>
      <w:r w:rsidR="00EF280F">
        <w:t>A</w:t>
      </w:r>
      <w:r w:rsidRPr="00000892">
        <w:t xml:space="preserve">vailable </w:t>
      </w:r>
      <w:r w:rsidR="00EF280F">
        <w:t>T</w:t>
      </w:r>
      <w:r w:rsidRPr="00000892">
        <w:t>echnique</w:t>
      </w:r>
      <w:r w:rsidR="00EF280F">
        <w:t xml:space="preserve"> (BAT</w:t>
      </w:r>
      <w:r w:rsidRPr="00000892">
        <w:t>)</w:t>
      </w:r>
      <w:r w:rsidR="00EF280F">
        <w:t xml:space="preserve">, which is the requirement to use the </w:t>
      </w:r>
      <w:r w:rsidR="00444311">
        <w:t>best practical technique to minimise potential pollution;</w:t>
      </w:r>
      <w:r w:rsidR="00EF280F">
        <w:t xml:space="preserve"> </w:t>
      </w:r>
    </w:p>
    <w:p w14:paraId="6053211F" w14:textId="4B98C196" w:rsidR="00000892" w:rsidRPr="00000892" w:rsidRDefault="006168F5" w:rsidP="008E66F6">
      <w:pPr>
        <w:numPr>
          <w:ilvl w:val="0"/>
          <w:numId w:val="1"/>
        </w:numPr>
      </w:pPr>
      <w:r>
        <w:lastRenderedPageBreak/>
        <w:t>Keep</w:t>
      </w:r>
      <w:r w:rsidR="00C65C68">
        <w:t>s</w:t>
      </w:r>
      <w:r>
        <w:t xml:space="preserve"> up to date with i</w:t>
      </w:r>
      <w:r w:rsidR="00000892" w:rsidRPr="00000892">
        <w:t>ndustry-wide research</w:t>
      </w:r>
      <w:r w:rsidR="008118E2">
        <w:t>, plus</w:t>
      </w:r>
      <w:r w:rsidR="00000892" w:rsidRPr="00000892">
        <w:t xml:space="preserve"> assist</w:t>
      </w:r>
      <w:r w:rsidR="005E3ADC">
        <w:t>s</w:t>
      </w:r>
      <w:r w:rsidR="00000892" w:rsidRPr="00000892">
        <w:t xml:space="preserve"> with technologies and techniques relating to established BREF (Best Available Techniques Reference document) and knowledge transfer relating to reducing and monitoring emissions</w:t>
      </w:r>
      <w:r w:rsidR="00FB419F">
        <w:t>;</w:t>
      </w:r>
    </w:p>
    <w:p w14:paraId="702A9965" w14:textId="3F654374" w:rsidR="00000892" w:rsidRPr="00000892" w:rsidRDefault="00000892" w:rsidP="008E66F6">
      <w:pPr>
        <w:numPr>
          <w:ilvl w:val="0"/>
          <w:numId w:val="1"/>
        </w:numPr>
      </w:pPr>
      <w:r w:rsidRPr="00000892">
        <w:t>Assist</w:t>
      </w:r>
      <w:r w:rsidR="005E3ADC">
        <w:t xml:space="preserve">s </w:t>
      </w:r>
      <w:r w:rsidRPr="00000892">
        <w:t>with related government consultations</w:t>
      </w:r>
      <w:r w:rsidR="00FB419F">
        <w:t>;</w:t>
      </w:r>
    </w:p>
    <w:p w14:paraId="4BC0EA9D" w14:textId="2F7A2B51" w:rsidR="00000892" w:rsidRDefault="00000892" w:rsidP="008E66F6">
      <w:pPr>
        <w:numPr>
          <w:ilvl w:val="0"/>
          <w:numId w:val="1"/>
        </w:numPr>
      </w:pPr>
      <w:r w:rsidRPr="00000892">
        <w:t>Report</w:t>
      </w:r>
      <w:r w:rsidR="005E3ADC">
        <w:t>s</w:t>
      </w:r>
      <w:r w:rsidRPr="00000892">
        <w:t xml:space="preserve"> to and liais</w:t>
      </w:r>
      <w:r w:rsidR="005E3ADC">
        <w:t>es</w:t>
      </w:r>
      <w:r w:rsidRPr="00000892">
        <w:t xml:space="preserve"> with SEPA</w:t>
      </w:r>
      <w:r w:rsidR="00F13E8C">
        <w:t>.</w:t>
      </w:r>
    </w:p>
    <w:p w14:paraId="54362C1E" w14:textId="596471C5" w:rsidR="00E5453C" w:rsidRDefault="00E5453C" w:rsidP="00F83592">
      <w:pPr>
        <w:ind w:left="720"/>
      </w:pPr>
      <w:r>
        <w:t xml:space="preserve"> </w:t>
      </w:r>
    </w:p>
    <w:sectPr w:rsidR="00E5453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0E914" w14:textId="77777777" w:rsidR="00BA2057" w:rsidRDefault="00BA2057" w:rsidP="00702F72">
      <w:pPr>
        <w:spacing w:after="0" w:line="240" w:lineRule="auto"/>
      </w:pPr>
      <w:r>
        <w:separator/>
      </w:r>
    </w:p>
  </w:endnote>
  <w:endnote w:type="continuationSeparator" w:id="0">
    <w:p w14:paraId="48C3494D" w14:textId="77777777" w:rsidR="00BA2057" w:rsidRDefault="00BA2057" w:rsidP="00702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94438" w14:textId="77777777" w:rsidR="00BA2057" w:rsidRDefault="00BA2057" w:rsidP="00702F72">
      <w:pPr>
        <w:spacing w:after="0" w:line="240" w:lineRule="auto"/>
      </w:pPr>
      <w:r>
        <w:separator/>
      </w:r>
    </w:p>
  </w:footnote>
  <w:footnote w:type="continuationSeparator" w:id="0">
    <w:p w14:paraId="71216CAF" w14:textId="77777777" w:rsidR="00BA2057" w:rsidRDefault="00BA2057" w:rsidP="00702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C1465" w14:textId="3002469E" w:rsidR="00702F72" w:rsidRDefault="00702F7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72DF32" wp14:editId="6F9A0E11">
          <wp:simplePos x="0" y="0"/>
          <wp:positionH relativeFrom="margin">
            <wp:posOffset>4448175</wp:posOffset>
          </wp:positionH>
          <wp:positionV relativeFrom="paragraph">
            <wp:posOffset>8890</wp:posOffset>
          </wp:positionV>
          <wp:extent cx="1524000" cy="683260"/>
          <wp:effectExtent l="0" t="0" r="0" b="2540"/>
          <wp:wrapSquare wrapText="bothSides"/>
          <wp:docPr id="1114919750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327905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6795D2D" w14:textId="54ACF618" w:rsidR="00702F72" w:rsidRDefault="00702F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63F68"/>
    <w:multiLevelType w:val="hybridMultilevel"/>
    <w:tmpl w:val="58AE5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07864"/>
    <w:multiLevelType w:val="hybridMultilevel"/>
    <w:tmpl w:val="C030A35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C3C4134"/>
    <w:multiLevelType w:val="hybridMultilevel"/>
    <w:tmpl w:val="3AAA1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02E24"/>
    <w:multiLevelType w:val="hybridMultilevel"/>
    <w:tmpl w:val="6BA04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C27D5"/>
    <w:multiLevelType w:val="hybridMultilevel"/>
    <w:tmpl w:val="B3E84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E0701"/>
    <w:multiLevelType w:val="hybridMultilevel"/>
    <w:tmpl w:val="BF721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F60CE"/>
    <w:multiLevelType w:val="multilevel"/>
    <w:tmpl w:val="0980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FE456E"/>
    <w:multiLevelType w:val="hybridMultilevel"/>
    <w:tmpl w:val="7A7A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E2610"/>
    <w:multiLevelType w:val="hybridMultilevel"/>
    <w:tmpl w:val="BF662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487495">
    <w:abstractNumId w:val="1"/>
  </w:num>
  <w:num w:numId="2" w16cid:durableId="1624195119">
    <w:abstractNumId w:val="0"/>
  </w:num>
  <w:num w:numId="3" w16cid:durableId="18507272">
    <w:abstractNumId w:val="5"/>
  </w:num>
  <w:num w:numId="4" w16cid:durableId="522521165">
    <w:abstractNumId w:val="2"/>
  </w:num>
  <w:num w:numId="5" w16cid:durableId="1704162621">
    <w:abstractNumId w:val="4"/>
  </w:num>
  <w:num w:numId="6" w16cid:durableId="129565681">
    <w:abstractNumId w:val="8"/>
  </w:num>
  <w:num w:numId="7" w16cid:durableId="1777287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2313711">
    <w:abstractNumId w:val="0"/>
  </w:num>
  <w:num w:numId="9" w16cid:durableId="280575810">
    <w:abstractNumId w:val="3"/>
  </w:num>
  <w:num w:numId="10" w16cid:durableId="689571832">
    <w:abstractNumId w:val="7"/>
  </w:num>
  <w:num w:numId="11" w16cid:durableId="1028917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92"/>
    <w:rsid w:val="00000892"/>
    <w:rsid w:val="00032812"/>
    <w:rsid w:val="0005678C"/>
    <w:rsid w:val="00073493"/>
    <w:rsid w:val="00096FAC"/>
    <w:rsid w:val="000A23C2"/>
    <w:rsid w:val="000D22B9"/>
    <w:rsid w:val="000E7459"/>
    <w:rsid w:val="001128A3"/>
    <w:rsid w:val="00142655"/>
    <w:rsid w:val="001472AF"/>
    <w:rsid w:val="0015655E"/>
    <w:rsid w:val="0016728D"/>
    <w:rsid w:val="00187ECC"/>
    <w:rsid w:val="001A6BC4"/>
    <w:rsid w:val="001B1D2E"/>
    <w:rsid w:val="001C5419"/>
    <w:rsid w:val="001D193A"/>
    <w:rsid w:val="001E128D"/>
    <w:rsid w:val="00216143"/>
    <w:rsid w:val="00231209"/>
    <w:rsid w:val="00234393"/>
    <w:rsid w:val="00257738"/>
    <w:rsid w:val="00272EB3"/>
    <w:rsid w:val="002770C0"/>
    <w:rsid w:val="00284BB0"/>
    <w:rsid w:val="002C18BC"/>
    <w:rsid w:val="002D29AC"/>
    <w:rsid w:val="00301884"/>
    <w:rsid w:val="00304DE3"/>
    <w:rsid w:val="00311DE8"/>
    <w:rsid w:val="003204AA"/>
    <w:rsid w:val="00320925"/>
    <w:rsid w:val="003413B6"/>
    <w:rsid w:val="00354F5F"/>
    <w:rsid w:val="003676A0"/>
    <w:rsid w:val="00367E89"/>
    <w:rsid w:val="003909B6"/>
    <w:rsid w:val="003A114C"/>
    <w:rsid w:val="003B3E5D"/>
    <w:rsid w:val="003C5128"/>
    <w:rsid w:val="003C7B6D"/>
    <w:rsid w:val="0040329B"/>
    <w:rsid w:val="00407614"/>
    <w:rsid w:val="00437324"/>
    <w:rsid w:val="00444311"/>
    <w:rsid w:val="0045335C"/>
    <w:rsid w:val="00471FBD"/>
    <w:rsid w:val="00475C02"/>
    <w:rsid w:val="00493BA7"/>
    <w:rsid w:val="00496E79"/>
    <w:rsid w:val="004B66E8"/>
    <w:rsid w:val="004C5A7D"/>
    <w:rsid w:val="004D0BF3"/>
    <w:rsid w:val="004D3CDD"/>
    <w:rsid w:val="004D4878"/>
    <w:rsid w:val="004D605E"/>
    <w:rsid w:val="004F40BB"/>
    <w:rsid w:val="00546700"/>
    <w:rsid w:val="00563A2D"/>
    <w:rsid w:val="00594788"/>
    <w:rsid w:val="005D1BD4"/>
    <w:rsid w:val="005D4BA9"/>
    <w:rsid w:val="005E3ADC"/>
    <w:rsid w:val="005F41BC"/>
    <w:rsid w:val="00602406"/>
    <w:rsid w:val="006025C1"/>
    <w:rsid w:val="006168F5"/>
    <w:rsid w:val="0062159E"/>
    <w:rsid w:val="00626C38"/>
    <w:rsid w:val="00663E0C"/>
    <w:rsid w:val="006660B8"/>
    <w:rsid w:val="00671533"/>
    <w:rsid w:val="006716E1"/>
    <w:rsid w:val="00677A80"/>
    <w:rsid w:val="00694DFD"/>
    <w:rsid w:val="006B27C2"/>
    <w:rsid w:val="006B3FD7"/>
    <w:rsid w:val="006C2D5E"/>
    <w:rsid w:val="006C4BB8"/>
    <w:rsid w:val="006E6C5D"/>
    <w:rsid w:val="00702F72"/>
    <w:rsid w:val="00703308"/>
    <w:rsid w:val="00707457"/>
    <w:rsid w:val="00707ABF"/>
    <w:rsid w:val="007121D0"/>
    <w:rsid w:val="00721078"/>
    <w:rsid w:val="00744DB5"/>
    <w:rsid w:val="00754EB3"/>
    <w:rsid w:val="007731A2"/>
    <w:rsid w:val="00776F6B"/>
    <w:rsid w:val="0078717A"/>
    <w:rsid w:val="007957D0"/>
    <w:rsid w:val="007B4068"/>
    <w:rsid w:val="007C4BB9"/>
    <w:rsid w:val="007F3465"/>
    <w:rsid w:val="007F5E72"/>
    <w:rsid w:val="007F7CFD"/>
    <w:rsid w:val="008118E2"/>
    <w:rsid w:val="00830B87"/>
    <w:rsid w:val="008472CB"/>
    <w:rsid w:val="00862D31"/>
    <w:rsid w:val="0086752E"/>
    <w:rsid w:val="00871193"/>
    <w:rsid w:val="00872D88"/>
    <w:rsid w:val="008A1323"/>
    <w:rsid w:val="008A2B11"/>
    <w:rsid w:val="008E66F6"/>
    <w:rsid w:val="008E7999"/>
    <w:rsid w:val="008F62AE"/>
    <w:rsid w:val="009225C6"/>
    <w:rsid w:val="00930EEE"/>
    <w:rsid w:val="00972152"/>
    <w:rsid w:val="009942D5"/>
    <w:rsid w:val="00996F07"/>
    <w:rsid w:val="009D1B97"/>
    <w:rsid w:val="009D320D"/>
    <w:rsid w:val="009D4706"/>
    <w:rsid w:val="009E0E07"/>
    <w:rsid w:val="00A30F7E"/>
    <w:rsid w:val="00A32563"/>
    <w:rsid w:val="00A640A2"/>
    <w:rsid w:val="00A7002C"/>
    <w:rsid w:val="00A82363"/>
    <w:rsid w:val="00A907C7"/>
    <w:rsid w:val="00AB3051"/>
    <w:rsid w:val="00B44FF3"/>
    <w:rsid w:val="00B509CF"/>
    <w:rsid w:val="00B62B57"/>
    <w:rsid w:val="00B62E92"/>
    <w:rsid w:val="00B7068C"/>
    <w:rsid w:val="00B81C01"/>
    <w:rsid w:val="00B848D2"/>
    <w:rsid w:val="00BA2057"/>
    <w:rsid w:val="00BA3690"/>
    <w:rsid w:val="00BB5AD8"/>
    <w:rsid w:val="00BC1010"/>
    <w:rsid w:val="00BD1495"/>
    <w:rsid w:val="00BF7EF3"/>
    <w:rsid w:val="00C21E67"/>
    <w:rsid w:val="00C47DF0"/>
    <w:rsid w:val="00C5103C"/>
    <w:rsid w:val="00C65C68"/>
    <w:rsid w:val="00CA6C30"/>
    <w:rsid w:val="00CB0E34"/>
    <w:rsid w:val="00CC0A2A"/>
    <w:rsid w:val="00CE0C31"/>
    <w:rsid w:val="00D0392F"/>
    <w:rsid w:val="00D20E88"/>
    <w:rsid w:val="00D266AA"/>
    <w:rsid w:val="00D271CD"/>
    <w:rsid w:val="00D2774D"/>
    <w:rsid w:val="00D4253B"/>
    <w:rsid w:val="00D75694"/>
    <w:rsid w:val="00DA5C71"/>
    <w:rsid w:val="00DD4DE2"/>
    <w:rsid w:val="00DD58FF"/>
    <w:rsid w:val="00DE078C"/>
    <w:rsid w:val="00DE4F39"/>
    <w:rsid w:val="00DE6FF6"/>
    <w:rsid w:val="00E02F2B"/>
    <w:rsid w:val="00E13B5E"/>
    <w:rsid w:val="00E27E9F"/>
    <w:rsid w:val="00E41384"/>
    <w:rsid w:val="00E5453C"/>
    <w:rsid w:val="00E5787D"/>
    <w:rsid w:val="00E70EB0"/>
    <w:rsid w:val="00E8687E"/>
    <w:rsid w:val="00EA50E9"/>
    <w:rsid w:val="00EA7B03"/>
    <w:rsid w:val="00EE25CB"/>
    <w:rsid w:val="00EE50D2"/>
    <w:rsid w:val="00EF280F"/>
    <w:rsid w:val="00F13E8C"/>
    <w:rsid w:val="00F327BC"/>
    <w:rsid w:val="00F32C65"/>
    <w:rsid w:val="00F357D0"/>
    <w:rsid w:val="00F41294"/>
    <w:rsid w:val="00F75EF4"/>
    <w:rsid w:val="00F83592"/>
    <w:rsid w:val="00F90DA4"/>
    <w:rsid w:val="00FA1406"/>
    <w:rsid w:val="00FB419F"/>
    <w:rsid w:val="00FC5AC6"/>
    <w:rsid w:val="00FE32A9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ED08B5"/>
  <w15:chartTrackingRefBased/>
  <w15:docId w15:val="{334E1E6D-2568-4C64-AE49-8BB9F22E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8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08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89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6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D3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2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F72"/>
  </w:style>
  <w:style w:type="paragraph" w:styleId="Footer">
    <w:name w:val="footer"/>
    <w:basedOn w:val="Normal"/>
    <w:link w:val="FooterChar"/>
    <w:uiPriority w:val="99"/>
    <w:unhideWhenUsed/>
    <w:rsid w:val="00702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2" ma:contentTypeDescription="Create a new document." ma:contentTypeScope="" ma:versionID="acda83cfd969fbc3ed9c65d81e9820bb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6340dff16f70450223d7b55afd791644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B47991-48AC-47EB-94A7-7210C8510A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0799B-CC8C-47C1-988F-0A54C42DB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Clark</dc:creator>
  <cp:keywords/>
  <dc:description/>
  <cp:lastModifiedBy>Katie Insch</cp:lastModifiedBy>
  <cp:revision>10</cp:revision>
  <dcterms:created xsi:type="dcterms:W3CDTF">2024-09-17T12:40:00Z</dcterms:created>
  <dcterms:modified xsi:type="dcterms:W3CDTF">2024-09-24T08:32:00Z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a2ed1247-42df-460c-8889-b9bd4d499528</vt:lpwstr>
  </property>
</Properties>
</file>