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838D" w14:textId="77777777" w:rsidR="00041078" w:rsidRDefault="00041078" w:rsidP="15263B2A">
      <w:pPr>
        <w:rPr>
          <w:rFonts w:eastAsiaTheme="minorEastAsia"/>
          <w:b/>
          <w:bCs/>
          <w:color w:val="000000" w:themeColor="text1"/>
          <w:sz w:val="32"/>
          <w:szCs w:val="32"/>
        </w:rPr>
      </w:pPr>
    </w:p>
    <w:p w14:paraId="2BD9B9B9" w14:textId="5CB7A818" w:rsidR="76A2262A" w:rsidRDefault="76A2262A" w:rsidP="15263B2A">
      <w:pPr>
        <w:rPr>
          <w:rFonts w:eastAsiaTheme="minorEastAsia"/>
          <w:color w:val="000000" w:themeColor="text1"/>
          <w:sz w:val="32"/>
          <w:szCs w:val="32"/>
        </w:rPr>
      </w:pPr>
      <w:r w:rsidRPr="15263B2A">
        <w:rPr>
          <w:rFonts w:eastAsiaTheme="minorEastAsia"/>
          <w:b/>
          <w:bCs/>
          <w:color w:val="000000" w:themeColor="text1"/>
          <w:sz w:val="32"/>
          <w:szCs w:val="32"/>
        </w:rPr>
        <w:t>Press Release</w:t>
      </w:r>
    </w:p>
    <w:p w14:paraId="2900560E" w14:textId="386A2F7D" w:rsidR="76A2262A" w:rsidRDefault="72C14C3E" w:rsidP="72C14C3E">
      <w:pPr>
        <w:rPr>
          <w:rFonts w:eastAsiaTheme="minorEastAsia"/>
          <w:color w:val="000000" w:themeColor="text1"/>
        </w:rPr>
      </w:pPr>
      <w:r w:rsidRPr="72C14C3E">
        <w:rPr>
          <w:rFonts w:eastAsiaTheme="minorEastAsia"/>
          <w:color w:val="000000" w:themeColor="text1"/>
        </w:rPr>
        <w:t>5 December 2025</w:t>
      </w:r>
    </w:p>
    <w:p w14:paraId="7855A013" w14:textId="7BC6DDB4" w:rsidR="00901506" w:rsidRPr="00901506" w:rsidRDefault="00901506" w:rsidP="15263B2A">
      <w:pPr>
        <w:rPr>
          <w:rFonts w:eastAsiaTheme="minorEastAsia"/>
          <w:i/>
          <w:iCs/>
          <w:color w:val="000000" w:themeColor="text1"/>
        </w:rPr>
      </w:pPr>
      <w:r>
        <w:rPr>
          <w:rFonts w:eastAsiaTheme="minorEastAsia"/>
          <w:i/>
          <w:iCs/>
          <w:color w:val="000000" w:themeColor="text1"/>
        </w:rPr>
        <w:t>For immediate release</w:t>
      </w:r>
    </w:p>
    <w:p w14:paraId="00137B6B" w14:textId="6E0BC041" w:rsidR="00CE69BD" w:rsidRPr="00CE69BD" w:rsidRDefault="00CE69BD" w:rsidP="00CE69BD">
      <w:pPr>
        <w:rPr>
          <w:rFonts w:eastAsiaTheme="minorEastAsia"/>
          <w:b/>
          <w:bCs/>
        </w:rPr>
      </w:pPr>
      <w:r w:rsidRPr="00CE69BD">
        <w:rPr>
          <w:rFonts w:eastAsiaTheme="minorEastAsia"/>
          <w:b/>
          <w:bCs/>
        </w:rPr>
        <w:t xml:space="preserve">CIPC Residues Monitoring Group submits second-year draft report and calls for industry support to secure future </w:t>
      </w:r>
      <w:r w:rsidR="000E43F5">
        <w:rPr>
          <w:rFonts w:eastAsiaTheme="minorEastAsia"/>
          <w:b/>
          <w:bCs/>
        </w:rPr>
        <w:t xml:space="preserve">potato </w:t>
      </w:r>
      <w:r w:rsidRPr="00CE69BD">
        <w:rPr>
          <w:rFonts w:eastAsiaTheme="minorEastAsia"/>
          <w:b/>
          <w:bCs/>
        </w:rPr>
        <w:t>storage capacity</w:t>
      </w:r>
    </w:p>
    <w:p w14:paraId="06726492" w14:textId="6AF993C8" w:rsidR="00CE69BD" w:rsidRPr="00CE69BD" w:rsidRDefault="00CE69BD" w:rsidP="00CE69BD">
      <w:pPr>
        <w:rPr>
          <w:rFonts w:eastAsiaTheme="minorEastAsia"/>
        </w:rPr>
      </w:pPr>
      <w:r w:rsidRPr="00CE69BD">
        <w:rPr>
          <w:rFonts w:eastAsiaTheme="minorEastAsia"/>
        </w:rPr>
        <w:t xml:space="preserve">The CIPC Residues Monitoring Group (CRMG), a cross-industry body, has </w:t>
      </w:r>
      <w:r w:rsidR="000E43F5">
        <w:rPr>
          <w:rFonts w:eastAsiaTheme="minorEastAsia"/>
        </w:rPr>
        <w:t>submitted</w:t>
      </w:r>
      <w:r w:rsidRPr="00CE69BD">
        <w:rPr>
          <w:rFonts w:eastAsiaTheme="minorEastAsia"/>
        </w:rPr>
        <w:t xml:space="preserve"> its second-year draft report with the Health and Safety Executive's Chemical Regulation Division (CRD)</w:t>
      </w:r>
      <w:r w:rsidR="00EC4FB1">
        <w:rPr>
          <w:rFonts w:eastAsiaTheme="minorEastAsia"/>
        </w:rPr>
        <w:t xml:space="preserve">. </w:t>
      </w:r>
      <w:r w:rsidR="00EC4FB1" w:rsidRPr="00EC4FB1">
        <w:rPr>
          <w:rFonts w:eastAsiaTheme="minorEastAsia"/>
        </w:rPr>
        <w:t xml:space="preserve">The report provides new evidence on </w:t>
      </w:r>
      <w:proofErr w:type="spellStart"/>
      <w:r w:rsidR="00EC4FB1" w:rsidRPr="00EC4FB1">
        <w:rPr>
          <w:rFonts w:eastAsiaTheme="minorEastAsia"/>
        </w:rPr>
        <w:t>chlorpropham</w:t>
      </w:r>
      <w:proofErr w:type="spellEnd"/>
      <w:r w:rsidR="00EC4FB1" w:rsidRPr="00EC4FB1">
        <w:rPr>
          <w:rFonts w:eastAsiaTheme="minorEastAsia"/>
        </w:rPr>
        <w:t xml:space="preserve"> (CIPC) residues in potatoes stored during the 2024/25 season and will inform CRD’s annual review of the temporary Maximum Residue Level (</w:t>
      </w:r>
      <w:proofErr w:type="spellStart"/>
      <w:r w:rsidR="00EC4FB1" w:rsidRPr="00EC4FB1">
        <w:rPr>
          <w:rFonts w:eastAsiaTheme="minorEastAsia"/>
        </w:rPr>
        <w:t>tMRL</w:t>
      </w:r>
      <w:proofErr w:type="spellEnd"/>
      <w:r w:rsidR="00EC4FB1" w:rsidRPr="00EC4FB1">
        <w:rPr>
          <w:rFonts w:eastAsiaTheme="minorEastAsia"/>
        </w:rPr>
        <w:t>), currently set at 0.35 mg/kg.</w:t>
      </w:r>
    </w:p>
    <w:p w14:paraId="284B9001" w14:textId="3DFF1019" w:rsidR="000E43F5" w:rsidRDefault="72C14C3E" w:rsidP="72C14C3E">
      <w:pPr>
        <w:rPr>
          <w:rFonts w:eastAsiaTheme="minorEastAsia"/>
        </w:rPr>
      </w:pPr>
      <w:r w:rsidRPr="72C14C3E">
        <w:rPr>
          <w:rFonts w:eastAsiaTheme="minorEastAsia"/>
        </w:rPr>
        <w:t xml:space="preserve">The report details residue data submitted by growers, store managers and supply chain partners. In total, 156 sample results were received from potato stores with a known history of CIPC use. Of these, 21 samples (13.5%) contained detectable CIPC residues, all of which were well within the </w:t>
      </w:r>
      <w:proofErr w:type="spellStart"/>
      <w:r w:rsidRPr="72C14C3E">
        <w:rPr>
          <w:rFonts w:eastAsiaTheme="minorEastAsia"/>
        </w:rPr>
        <w:t>tMRL</w:t>
      </w:r>
      <w:proofErr w:type="spellEnd"/>
      <w:r w:rsidRPr="72C14C3E">
        <w:rPr>
          <w:rFonts w:eastAsiaTheme="minorEastAsia"/>
        </w:rPr>
        <w:t xml:space="preserve">. </w:t>
      </w:r>
    </w:p>
    <w:p w14:paraId="00FBF4A4" w14:textId="77777777" w:rsidR="00EC4FB1" w:rsidRDefault="00EC4FB1" w:rsidP="00CE69BD">
      <w:pPr>
        <w:rPr>
          <w:rFonts w:eastAsiaTheme="minorEastAsia"/>
        </w:rPr>
      </w:pPr>
      <w:r w:rsidRPr="00EC4FB1">
        <w:rPr>
          <w:rFonts w:eastAsiaTheme="minorEastAsia"/>
        </w:rPr>
        <w:t>While residue levels continue to decline, the provisional data mirrors Year 1 patterns, reinforcing the need for a temporary MRL. Without it, many stores would exceed the standard detection threshold and be taken out of use, placing significant pressure on the UK’s storage infrastructure and supply chain resilience.</w:t>
      </w:r>
    </w:p>
    <w:p w14:paraId="18336271" w14:textId="1804FC64" w:rsidR="00CE69BD" w:rsidRPr="00CE69BD" w:rsidRDefault="00CE69BD" w:rsidP="65F1EA91">
      <w:pPr>
        <w:rPr>
          <w:rFonts w:eastAsiaTheme="minorEastAsia"/>
        </w:rPr>
      </w:pPr>
      <w:r w:rsidRPr="65F1EA91">
        <w:rPr>
          <w:rFonts w:eastAsiaTheme="minorEastAsia"/>
        </w:rPr>
        <w:t>Adrian Cunnington, Chair of the CIPC Residues Monitoring Group, said:</w:t>
      </w:r>
      <w:r>
        <w:br/>
      </w:r>
      <w:r w:rsidRPr="65F1EA91">
        <w:rPr>
          <w:rFonts w:eastAsiaTheme="minorEastAsia"/>
        </w:rPr>
        <w:t>“It is hard to overstate the challenge if we lost our storage capacity</w:t>
      </w:r>
      <w:r w:rsidR="3E143631" w:rsidRPr="65F1EA91">
        <w:rPr>
          <w:rFonts w:eastAsiaTheme="minorEastAsia"/>
        </w:rPr>
        <w:t>;</w:t>
      </w:r>
      <w:r w:rsidRPr="65F1EA91">
        <w:rPr>
          <w:rFonts w:eastAsiaTheme="minorEastAsia"/>
        </w:rPr>
        <w:t xml:space="preserve"> it would be devastating for the industry</w:t>
      </w:r>
      <w:r w:rsidR="246A52C4" w:rsidRPr="65F1EA91">
        <w:rPr>
          <w:rFonts w:eastAsiaTheme="minorEastAsia"/>
        </w:rPr>
        <w:t>.</w:t>
      </w:r>
      <w:r w:rsidRPr="65F1EA91">
        <w:rPr>
          <w:rFonts w:eastAsiaTheme="minorEastAsia"/>
        </w:rPr>
        <w:t xml:space="preserve"> We are watching residues come down year-on-year, but the biggest challenge remains getting enough samples. It is imperative that we continue to collect and submit residue data if we are to maintain our supply base for years to come.”</w:t>
      </w:r>
    </w:p>
    <w:p w14:paraId="706D8D90" w14:textId="77777777" w:rsidR="00EC4FB1" w:rsidRPr="00EC4FB1" w:rsidRDefault="00EC4FB1" w:rsidP="00EC4FB1">
      <w:pPr>
        <w:rPr>
          <w:rFonts w:eastAsiaTheme="minorEastAsia"/>
        </w:rPr>
      </w:pPr>
      <w:r w:rsidRPr="00EC4FB1">
        <w:rPr>
          <w:rFonts w:eastAsiaTheme="minorEastAsia"/>
        </w:rPr>
        <w:t xml:space="preserve">CRMG is now calling on the industry to support a third season of sampling, which will underpin the 2025/26 submission to CRD. Growers and store managers already collecting multi-residue data are urged to submit </w:t>
      </w:r>
      <w:proofErr w:type="spellStart"/>
      <w:r w:rsidRPr="00EC4FB1">
        <w:rPr>
          <w:rFonts w:eastAsiaTheme="minorEastAsia"/>
        </w:rPr>
        <w:t>chlorpropham</w:t>
      </w:r>
      <w:proofErr w:type="spellEnd"/>
      <w:r w:rsidRPr="00EC4FB1">
        <w:rPr>
          <w:rFonts w:eastAsiaTheme="minorEastAsia"/>
        </w:rPr>
        <w:t xml:space="preserve"> results from crops stored for at least 60 days. All analysis must be conducted by a UKAS-accredited laboratory.</w:t>
      </w:r>
    </w:p>
    <w:p w14:paraId="35DCC247" w14:textId="77777777" w:rsidR="00EC4FB1" w:rsidRPr="00EC4FB1" w:rsidRDefault="00EC4FB1" w:rsidP="00EC4FB1">
      <w:pPr>
        <w:rPr>
          <w:rFonts w:eastAsiaTheme="minorEastAsia"/>
        </w:rPr>
      </w:pPr>
      <w:r w:rsidRPr="00EC4FB1">
        <w:rPr>
          <w:rFonts w:eastAsiaTheme="minorEastAsia"/>
        </w:rPr>
        <w:t>This evidence is vital to demonstrate the continued need for a temporary MRL. Without sufficient data, stores with a CIPC history remain at risk of being taken out of use.</w:t>
      </w:r>
    </w:p>
    <w:p w14:paraId="71DAFD07" w14:textId="77777777" w:rsidR="00041078" w:rsidRDefault="00CE69BD" w:rsidP="00CE69BD">
      <w:pPr>
        <w:rPr>
          <w:rFonts w:eastAsiaTheme="minorEastAsia"/>
        </w:rPr>
      </w:pPr>
      <w:r w:rsidRPr="00CE69BD">
        <w:rPr>
          <w:rFonts w:eastAsiaTheme="minorEastAsia"/>
        </w:rPr>
        <w:t>Adrian added:</w:t>
      </w:r>
      <w:r>
        <w:rPr>
          <w:rFonts w:eastAsiaTheme="minorEastAsia"/>
        </w:rPr>
        <w:t xml:space="preserve"> </w:t>
      </w:r>
      <w:r w:rsidRPr="00CE69BD">
        <w:rPr>
          <w:rFonts w:eastAsiaTheme="minorEastAsia"/>
        </w:rPr>
        <w:t xml:space="preserve">“We are asking growers to help build an accurate national picture of residue levels across stores with a CIPC history. By contributing their data, growers will </w:t>
      </w:r>
    </w:p>
    <w:p w14:paraId="5904DAB9" w14:textId="77777777" w:rsidR="00041078" w:rsidRDefault="00041078" w:rsidP="00CE69BD">
      <w:pPr>
        <w:rPr>
          <w:rFonts w:eastAsiaTheme="minorEastAsia"/>
        </w:rPr>
      </w:pPr>
    </w:p>
    <w:p w14:paraId="0B734D03" w14:textId="7929F0B9" w:rsidR="00CE69BD" w:rsidRPr="00CE69BD" w:rsidRDefault="00CE69BD" w:rsidP="00CE69BD">
      <w:pPr>
        <w:rPr>
          <w:rFonts w:eastAsiaTheme="minorEastAsia"/>
        </w:rPr>
      </w:pPr>
      <w:r w:rsidRPr="00CE69BD">
        <w:rPr>
          <w:rFonts w:eastAsiaTheme="minorEastAsia"/>
        </w:rPr>
        <w:t>help ensure that the industry can continue to use vital storage capacity safely and responsibly.”</w:t>
      </w:r>
    </w:p>
    <w:p w14:paraId="615E28B5" w14:textId="5C2811A7" w:rsidR="00CE69BD" w:rsidRPr="00CE69BD" w:rsidRDefault="00CE69BD" w:rsidP="00CE69BD">
      <w:pPr>
        <w:rPr>
          <w:rFonts w:eastAsiaTheme="minorEastAsia"/>
        </w:rPr>
      </w:pPr>
      <w:r w:rsidRPr="00CE69BD">
        <w:rPr>
          <w:rFonts w:eastAsiaTheme="minorEastAsia"/>
        </w:rPr>
        <w:t>Growers and store managers willing to submit anonymised CIPC residue data can contact:</w:t>
      </w:r>
      <w:r>
        <w:rPr>
          <w:rFonts w:eastAsiaTheme="minorEastAsia"/>
        </w:rPr>
        <w:t xml:space="preserve"> </w:t>
      </w:r>
      <w:r w:rsidRPr="00CE69BD">
        <w:rPr>
          <w:rFonts w:eastAsiaTheme="minorEastAsia"/>
        </w:rPr>
        <w:t>adrian@potatostorageinsight.com</w:t>
      </w:r>
    </w:p>
    <w:p w14:paraId="5CBC1255" w14:textId="259F3E7E" w:rsidR="00C27627" w:rsidRPr="00CE69BD" w:rsidRDefault="00CE69BD" w:rsidP="00901506">
      <w:pPr>
        <w:rPr>
          <w:rFonts w:eastAsiaTheme="minorEastAsia"/>
        </w:rPr>
      </w:pPr>
      <w:r w:rsidRPr="00CE69BD">
        <w:rPr>
          <w:rFonts w:eastAsiaTheme="minorEastAsia"/>
          <w:b/>
          <w:bCs/>
        </w:rPr>
        <w:t>– Ends –</w:t>
      </w:r>
    </w:p>
    <w:p w14:paraId="573D4508" w14:textId="05A507F2" w:rsidR="00C27627" w:rsidRPr="00C27627" w:rsidRDefault="075E954B" w:rsidP="15263B2A">
      <w:pPr>
        <w:rPr>
          <w:rFonts w:ascii="Aptos" w:eastAsia="Aptos" w:hAnsi="Aptos" w:cs="Aptos"/>
          <w:color w:val="000000" w:themeColor="text1"/>
        </w:rPr>
      </w:pPr>
      <w:r w:rsidRPr="15263B2A">
        <w:rPr>
          <w:rFonts w:ascii="Aptos" w:eastAsia="Aptos" w:hAnsi="Aptos" w:cs="Aptos"/>
          <w:b/>
          <w:bCs/>
          <w:color w:val="000000" w:themeColor="text1"/>
        </w:rPr>
        <w:t>Media and Press</w:t>
      </w:r>
      <w:r w:rsidRPr="15263B2A">
        <w:rPr>
          <w:rFonts w:ascii="Aptos" w:eastAsia="Aptos" w:hAnsi="Aptos" w:cs="Aptos"/>
          <w:color w:val="000000" w:themeColor="text1"/>
        </w:rPr>
        <w:t>: Rebecca Dawes</w:t>
      </w:r>
      <w:r w:rsidR="006E2C67">
        <w:rPr>
          <w:rFonts w:ascii="Aptos" w:eastAsia="Aptos" w:hAnsi="Aptos" w:cs="Aptos"/>
          <w:color w:val="000000" w:themeColor="text1"/>
        </w:rPr>
        <w:t xml:space="preserve"> or Rose Moggach</w:t>
      </w:r>
      <w:r w:rsidRPr="15263B2A">
        <w:rPr>
          <w:rFonts w:ascii="Aptos" w:eastAsia="Aptos" w:hAnsi="Aptos" w:cs="Aptos"/>
          <w:color w:val="000000" w:themeColor="text1"/>
        </w:rPr>
        <w:t xml:space="preserve"> – </w:t>
      </w:r>
      <w:hyperlink r:id="rId10" w:history="1">
        <w:r w:rsidR="006E2C67" w:rsidRPr="0019297C">
          <w:rPr>
            <w:rStyle w:val="Hyperlink"/>
            <w:rFonts w:ascii="Aptos" w:eastAsia="Aptos" w:hAnsi="Aptos" w:cs="Aptos"/>
          </w:rPr>
          <w:t>gbpotatoes@janecraigie.com</w:t>
        </w:r>
      </w:hyperlink>
      <w:r w:rsidRPr="15263B2A">
        <w:rPr>
          <w:rFonts w:ascii="Aptos" w:eastAsia="Aptos" w:hAnsi="Aptos" w:cs="Aptos"/>
          <w:color w:val="000000" w:themeColor="text1"/>
        </w:rPr>
        <w:t xml:space="preserve"> – 07792 467730</w:t>
      </w:r>
    </w:p>
    <w:p w14:paraId="178C70ED" w14:textId="61A4C864" w:rsidR="00C27627" w:rsidRPr="00C27627" w:rsidRDefault="72C14C3E" w:rsidP="72C14C3E">
      <w:pPr>
        <w:rPr>
          <w:rFonts w:ascii="Aptos" w:eastAsia="Aptos" w:hAnsi="Aptos" w:cs="Aptos"/>
          <w:color w:val="000000" w:themeColor="text1"/>
        </w:rPr>
      </w:pPr>
      <w:r w:rsidRPr="72C14C3E">
        <w:rPr>
          <w:rFonts w:ascii="Aptos" w:eastAsia="Aptos" w:hAnsi="Aptos" w:cs="Aptos"/>
          <w:b/>
          <w:bCs/>
          <w:color w:val="000000" w:themeColor="text1"/>
        </w:rPr>
        <w:t>Notes to editors</w:t>
      </w:r>
    </w:p>
    <w:p w14:paraId="46C5F4E7" w14:textId="1DD495C6" w:rsidR="00C27627" w:rsidRPr="00C27627" w:rsidRDefault="72C14C3E" w:rsidP="72C14C3E">
      <w:pPr>
        <w:rPr>
          <w:rFonts w:ascii="Aptos" w:eastAsia="Aptos" w:hAnsi="Aptos" w:cs="Aptos"/>
          <w:color w:val="000000" w:themeColor="text1"/>
          <w:sz w:val="22"/>
          <w:szCs w:val="22"/>
        </w:rPr>
      </w:pPr>
      <w:r w:rsidRPr="72C14C3E">
        <w:rPr>
          <w:rFonts w:ascii="Aptos" w:eastAsia="Aptos" w:hAnsi="Aptos" w:cs="Aptos"/>
          <w:color w:val="000000" w:themeColor="text1"/>
          <w:sz w:val="22"/>
          <w:szCs w:val="22"/>
        </w:rPr>
        <w:t xml:space="preserve">CIPC Residues Monitoring Group (CRMG) is a cross‑industry body established by the UK potato sector to meet the data submission requirements of the Health &amp; Safety Executive’s Chemical Regulation Division (CRD). </w:t>
      </w:r>
    </w:p>
    <w:p w14:paraId="73698382" w14:textId="0F160DEA" w:rsidR="00C27627" w:rsidRPr="00C27627" w:rsidRDefault="72C14C3E" w:rsidP="72C14C3E">
      <w:pPr>
        <w:rPr>
          <w:rFonts w:ascii="Aptos" w:eastAsia="Aptos" w:hAnsi="Aptos" w:cs="Aptos"/>
          <w:color w:val="000000" w:themeColor="text1"/>
          <w:sz w:val="22"/>
          <w:szCs w:val="22"/>
        </w:rPr>
      </w:pPr>
      <w:r w:rsidRPr="72C14C3E">
        <w:rPr>
          <w:rFonts w:ascii="Aptos" w:eastAsia="Aptos" w:hAnsi="Aptos" w:cs="Aptos"/>
          <w:color w:val="000000" w:themeColor="text1"/>
          <w:sz w:val="22"/>
          <w:szCs w:val="22"/>
        </w:rPr>
        <w:t xml:space="preserve">The Group’s remit is to measure </w:t>
      </w:r>
      <w:proofErr w:type="spellStart"/>
      <w:r w:rsidRPr="72C14C3E">
        <w:rPr>
          <w:rFonts w:ascii="Aptos" w:eastAsia="Aptos" w:hAnsi="Aptos" w:cs="Aptos"/>
          <w:color w:val="000000" w:themeColor="text1"/>
          <w:sz w:val="22"/>
          <w:szCs w:val="22"/>
        </w:rPr>
        <w:t>chlorpropham</w:t>
      </w:r>
      <w:proofErr w:type="spellEnd"/>
      <w:r w:rsidRPr="72C14C3E">
        <w:rPr>
          <w:rFonts w:ascii="Aptos" w:eastAsia="Aptos" w:hAnsi="Aptos" w:cs="Aptos"/>
          <w:color w:val="000000" w:themeColor="text1"/>
          <w:sz w:val="22"/>
          <w:szCs w:val="22"/>
        </w:rPr>
        <w:t xml:space="preserve"> (CIPC) residues in potatoes stored in facilities that were previously treated with CIPC.</w:t>
      </w:r>
    </w:p>
    <w:p w14:paraId="40362123" w14:textId="440ABDCD" w:rsidR="00C27627" w:rsidRPr="00C27627" w:rsidRDefault="72C14C3E" w:rsidP="72C14C3E">
      <w:pPr>
        <w:rPr>
          <w:rFonts w:ascii="Aptos" w:eastAsia="Aptos" w:hAnsi="Aptos" w:cs="Aptos"/>
          <w:color w:val="000000" w:themeColor="text1"/>
          <w:sz w:val="22"/>
          <w:szCs w:val="22"/>
        </w:rPr>
      </w:pPr>
      <w:r w:rsidRPr="72C14C3E">
        <w:rPr>
          <w:rFonts w:ascii="Aptos" w:eastAsia="Aptos" w:hAnsi="Aptos" w:cs="Aptos"/>
          <w:color w:val="000000" w:themeColor="text1"/>
          <w:sz w:val="22"/>
          <w:szCs w:val="22"/>
        </w:rPr>
        <w:t>This monitoring follows CRD’s introduction of a temporary Maximum Residue Level (</w:t>
      </w:r>
      <w:proofErr w:type="spellStart"/>
      <w:r w:rsidRPr="72C14C3E">
        <w:rPr>
          <w:rFonts w:ascii="Aptos" w:eastAsia="Aptos" w:hAnsi="Aptos" w:cs="Aptos"/>
          <w:color w:val="000000" w:themeColor="text1"/>
          <w:sz w:val="22"/>
          <w:szCs w:val="22"/>
        </w:rPr>
        <w:t>tMRL</w:t>
      </w:r>
      <w:proofErr w:type="spellEnd"/>
      <w:r w:rsidRPr="72C14C3E">
        <w:rPr>
          <w:rFonts w:ascii="Aptos" w:eastAsia="Aptos" w:hAnsi="Aptos" w:cs="Aptos"/>
          <w:color w:val="000000" w:themeColor="text1"/>
          <w:sz w:val="22"/>
          <w:szCs w:val="22"/>
        </w:rPr>
        <w:t>) of 0.35 mg/kg, effective from 10 April 2024.</w:t>
      </w:r>
    </w:p>
    <w:p w14:paraId="2214D9F3" w14:textId="691E9C3C" w:rsidR="00C27627" w:rsidRPr="00C27627" w:rsidRDefault="72C14C3E" w:rsidP="72C14C3E">
      <w:pPr>
        <w:rPr>
          <w:rFonts w:ascii="Aptos" w:eastAsia="Aptos" w:hAnsi="Aptos" w:cs="Aptos"/>
          <w:color w:val="000000" w:themeColor="text1"/>
          <w:sz w:val="22"/>
          <w:szCs w:val="22"/>
        </w:rPr>
      </w:pPr>
      <w:r w:rsidRPr="72C14C3E">
        <w:rPr>
          <w:rFonts w:ascii="Aptos" w:eastAsia="Aptos" w:hAnsi="Aptos" w:cs="Aptos"/>
          <w:color w:val="000000" w:themeColor="text1"/>
          <w:sz w:val="22"/>
          <w:szCs w:val="22"/>
        </w:rPr>
        <w:t>CIPC is no longer approved for use in the UK, but residues remain in stores. Monitoring ensures that these facilities can continue to be used safely.</w:t>
      </w:r>
    </w:p>
    <w:p w14:paraId="3A3B3763" w14:textId="75DBF73F" w:rsidR="00C27627" w:rsidRPr="00C27627" w:rsidRDefault="72C14C3E" w:rsidP="72C14C3E">
      <w:pPr>
        <w:rPr>
          <w:rFonts w:ascii="Aptos" w:eastAsia="Aptos" w:hAnsi="Aptos" w:cs="Aptos"/>
          <w:color w:val="000000" w:themeColor="text1"/>
          <w:sz w:val="22"/>
          <w:szCs w:val="22"/>
        </w:rPr>
      </w:pPr>
      <w:r w:rsidRPr="72C14C3E">
        <w:rPr>
          <w:rFonts w:ascii="Aptos" w:eastAsia="Aptos" w:hAnsi="Aptos" w:cs="Aptos"/>
          <w:color w:val="000000" w:themeColor="text1"/>
          <w:sz w:val="22"/>
          <w:szCs w:val="22"/>
        </w:rPr>
        <w:t>It is essential that the industry provides the requested data. Failure to do so could result in all potato stores with a CIPC history being taken out of use.</w:t>
      </w:r>
    </w:p>
    <w:p w14:paraId="3C738DF8" w14:textId="6ED8F5E0" w:rsidR="00C27627" w:rsidRPr="00C27627" w:rsidRDefault="72C14C3E" w:rsidP="72C14C3E">
      <w:pPr>
        <w:rPr>
          <w:rFonts w:ascii="Aptos" w:eastAsia="Aptos" w:hAnsi="Aptos" w:cs="Aptos"/>
          <w:color w:val="000000" w:themeColor="text1"/>
          <w:sz w:val="22"/>
          <w:szCs w:val="22"/>
        </w:rPr>
      </w:pPr>
      <w:r w:rsidRPr="72C14C3E">
        <w:rPr>
          <w:rFonts w:ascii="Aptos" w:eastAsia="Aptos" w:hAnsi="Aptos" w:cs="Aptos"/>
          <w:color w:val="000000" w:themeColor="text1"/>
          <w:sz w:val="22"/>
          <w:szCs w:val="22"/>
        </w:rPr>
        <w:t xml:space="preserve">CRMG has secured pan‑industry support, with representatives from GB Potatoes, UK Potato Processors Association, Fresh Potato Suppliers Association, National Farmers Union, National Association of Agricultural Contractors (Postharvest Group), Certis </w:t>
      </w:r>
      <w:proofErr w:type="spellStart"/>
      <w:r w:rsidRPr="72C14C3E">
        <w:rPr>
          <w:rFonts w:ascii="Aptos" w:eastAsia="Aptos" w:hAnsi="Aptos" w:cs="Aptos"/>
          <w:color w:val="000000" w:themeColor="text1"/>
          <w:sz w:val="22"/>
          <w:szCs w:val="22"/>
        </w:rPr>
        <w:t>Belchim</w:t>
      </w:r>
      <w:proofErr w:type="spellEnd"/>
      <w:r w:rsidRPr="72C14C3E">
        <w:rPr>
          <w:rFonts w:ascii="Aptos" w:eastAsia="Aptos" w:hAnsi="Aptos" w:cs="Aptos"/>
          <w:color w:val="000000" w:themeColor="text1"/>
          <w:sz w:val="22"/>
          <w:szCs w:val="22"/>
        </w:rPr>
        <w:t xml:space="preserve"> B.V, UPL, CS Backhouse, Isle of Ely Produce, Potato Storage Insight and SA Consulting.</w:t>
      </w:r>
    </w:p>
    <w:p w14:paraId="75FF457F" w14:textId="2E67BF69" w:rsidR="00C27627" w:rsidRPr="00C27627" w:rsidRDefault="00C27627" w:rsidP="72C14C3E">
      <w:pPr>
        <w:rPr>
          <w:rFonts w:ascii="Aptos" w:eastAsia="Aptos" w:hAnsi="Aptos" w:cs="Aptos"/>
          <w:b/>
          <w:bCs/>
          <w:color w:val="000000" w:themeColor="text1"/>
          <w:sz w:val="22"/>
          <w:szCs w:val="22"/>
        </w:rPr>
      </w:pPr>
    </w:p>
    <w:p w14:paraId="5E8F8646" w14:textId="7C129FB9" w:rsidR="00C27627" w:rsidRPr="00C27627" w:rsidRDefault="00C27627" w:rsidP="72C14C3E">
      <w:pPr>
        <w:rPr>
          <w:rFonts w:ascii="Aptos" w:eastAsia="Aptos" w:hAnsi="Aptos" w:cs="Aptos"/>
          <w:b/>
          <w:bCs/>
          <w:color w:val="000000" w:themeColor="text1"/>
          <w:sz w:val="22"/>
          <w:szCs w:val="22"/>
        </w:rPr>
      </w:pPr>
    </w:p>
    <w:sectPr w:rsidR="00C27627" w:rsidRPr="00C2762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23A3" w14:textId="77777777" w:rsidR="004D448E" w:rsidRDefault="004D448E" w:rsidP="00285A4E">
      <w:pPr>
        <w:spacing w:after="0" w:line="240" w:lineRule="auto"/>
      </w:pPr>
      <w:r>
        <w:separator/>
      </w:r>
    </w:p>
  </w:endnote>
  <w:endnote w:type="continuationSeparator" w:id="0">
    <w:p w14:paraId="491C7410" w14:textId="77777777" w:rsidR="004D448E" w:rsidRDefault="004D448E" w:rsidP="0028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FF19" w14:textId="77777777" w:rsidR="004D448E" w:rsidRDefault="004D448E" w:rsidP="00285A4E">
      <w:pPr>
        <w:spacing w:after="0" w:line="240" w:lineRule="auto"/>
      </w:pPr>
      <w:r>
        <w:separator/>
      </w:r>
    </w:p>
  </w:footnote>
  <w:footnote w:type="continuationSeparator" w:id="0">
    <w:p w14:paraId="71BDE0BB" w14:textId="77777777" w:rsidR="004D448E" w:rsidRDefault="004D448E" w:rsidP="0028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58D8" w14:textId="20D3F22E" w:rsidR="00285A4E" w:rsidRDefault="00CE69BD">
    <w:pPr>
      <w:pStyle w:val="Header"/>
    </w:pPr>
    <w:r>
      <w:rPr>
        <w:noProof/>
      </w:rPr>
      <w:drawing>
        <wp:anchor distT="0" distB="0" distL="114300" distR="114300" simplePos="0" relativeHeight="251658240" behindDoc="0" locked="0" layoutInCell="1" allowOverlap="1" wp14:anchorId="7327EB88" wp14:editId="30A4E30B">
          <wp:simplePos x="0" y="0"/>
          <wp:positionH relativeFrom="margin">
            <wp:posOffset>5261483</wp:posOffset>
          </wp:positionH>
          <wp:positionV relativeFrom="paragraph">
            <wp:posOffset>-413366</wp:posOffset>
          </wp:positionV>
          <wp:extent cx="1170305" cy="982980"/>
          <wp:effectExtent l="0" t="0" r="0" b="7620"/>
          <wp:wrapSquare wrapText="bothSides"/>
          <wp:docPr id="530298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9829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D82"/>
    <w:multiLevelType w:val="multilevel"/>
    <w:tmpl w:val="8E1C40B4"/>
    <w:lvl w:ilvl="0">
      <w:start w:val="1"/>
      <w:numFmt w:val="bullet"/>
      <w:lvlText w:val=""/>
      <w:lvlJc w:val="left"/>
      <w:pPr>
        <w:tabs>
          <w:tab w:val="num" w:pos="9792"/>
        </w:tabs>
        <w:ind w:left="9792" w:hanging="360"/>
      </w:pPr>
      <w:rPr>
        <w:rFonts w:ascii="Symbol" w:hAnsi="Symbol" w:hint="default"/>
        <w:sz w:val="20"/>
      </w:rPr>
    </w:lvl>
    <w:lvl w:ilvl="1">
      <w:start w:val="1"/>
      <w:numFmt w:val="bullet"/>
      <w:lvlText w:val="o"/>
      <w:lvlJc w:val="left"/>
      <w:pPr>
        <w:tabs>
          <w:tab w:val="num" w:pos="10512"/>
        </w:tabs>
        <w:ind w:left="10512" w:hanging="360"/>
      </w:pPr>
      <w:rPr>
        <w:rFonts w:ascii="Courier New" w:hAnsi="Courier New" w:hint="default"/>
        <w:sz w:val="20"/>
      </w:rPr>
    </w:lvl>
    <w:lvl w:ilvl="2" w:tentative="1">
      <w:start w:val="1"/>
      <w:numFmt w:val="bullet"/>
      <w:lvlText w:val=""/>
      <w:lvlJc w:val="left"/>
      <w:pPr>
        <w:tabs>
          <w:tab w:val="num" w:pos="11232"/>
        </w:tabs>
        <w:ind w:left="11232" w:hanging="360"/>
      </w:pPr>
      <w:rPr>
        <w:rFonts w:ascii="Wingdings" w:hAnsi="Wingdings" w:hint="default"/>
        <w:sz w:val="20"/>
      </w:rPr>
    </w:lvl>
    <w:lvl w:ilvl="3" w:tentative="1">
      <w:start w:val="1"/>
      <w:numFmt w:val="bullet"/>
      <w:lvlText w:val=""/>
      <w:lvlJc w:val="left"/>
      <w:pPr>
        <w:tabs>
          <w:tab w:val="num" w:pos="11952"/>
        </w:tabs>
        <w:ind w:left="11952" w:hanging="360"/>
      </w:pPr>
      <w:rPr>
        <w:rFonts w:ascii="Wingdings" w:hAnsi="Wingdings" w:hint="default"/>
        <w:sz w:val="20"/>
      </w:rPr>
    </w:lvl>
    <w:lvl w:ilvl="4" w:tentative="1">
      <w:start w:val="1"/>
      <w:numFmt w:val="bullet"/>
      <w:lvlText w:val=""/>
      <w:lvlJc w:val="left"/>
      <w:pPr>
        <w:tabs>
          <w:tab w:val="num" w:pos="12672"/>
        </w:tabs>
        <w:ind w:left="12672" w:hanging="360"/>
      </w:pPr>
      <w:rPr>
        <w:rFonts w:ascii="Wingdings" w:hAnsi="Wingdings" w:hint="default"/>
        <w:sz w:val="20"/>
      </w:rPr>
    </w:lvl>
    <w:lvl w:ilvl="5" w:tentative="1">
      <w:start w:val="1"/>
      <w:numFmt w:val="bullet"/>
      <w:lvlText w:val=""/>
      <w:lvlJc w:val="left"/>
      <w:pPr>
        <w:tabs>
          <w:tab w:val="num" w:pos="13392"/>
        </w:tabs>
        <w:ind w:left="13392" w:hanging="360"/>
      </w:pPr>
      <w:rPr>
        <w:rFonts w:ascii="Wingdings" w:hAnsi="Wingdings" w:hint="default"/>
        <w:sz w:val="20"/>
      </w:rPr>
    </w:lvl>
    <w:lvl w:ilvl="6" w:tentative="1">
      <w:start w:val="1"/>
      <w:numFmt w:val="bullet"/>
      <w:lvlText w:val=""/>
      <w:lvlJc w:val="left"/>
      <w:pPr>
        <w:tabs>
          <w:tab w:val="num" w:pos="14112"/>
        </w:tabs>
        <w:ind w:left="14112" w:hanging="360"/>
      </w:pPr>
      <w:rPr>
        <w:rFonts w:ascii="Wingdings" w:hAnsi="Wingdings" w:hint="default"/>
        <w:sz w:val="20"/>
      </w:rPr>
    </w:lvl>
    <w:lvl w:ilvl="7" w:tentative="1">
      <w:start w:val="1"/>
      <w:numFmt w:val="bullet"/>
      <w:lvlText w:val=""/>
      <w:lvlJc w:val="left"/>
      <w:pPr>
        <w:tabs>
          <w:tab w:val="num" w:pos="14832"/>
        </w:tabs>
        <w:ind w:left="14832" w:hanging="360"/>
      </w:pPr>
      <w:rPr>
        <w:rFonts w:ascii="Wingdings" w:hAnsi="Wingdings" w:hint="default"/>
        <w:sz w:val="20"/>
      </w:rPr>
    </w:lvl>
    <w:lvl w:ilvl="8" w:tentative="1">
      <w:start w:val="1"/>
      <w:numFmt w:val="bullet"/>
      <w:lvlText w:val=""/>
      <w:lvlJc w:val="left"/>
      <w:pPr>
        <w:tabs>
          <w:tab w:val="num" w:pos="15552"/>
        </w:tabs>
        <w:ind w:left="15552" w:hanging="360"/>
      </w:pPr>
      <w:rPr>
        <w:rFonts w:ascii="Wingdings" w:hAnsi="Wingdings" w:hint="default"/>
        <w:sz w:val="20"/>
      </w:rPr>
    </w:lvl>
  </w:abstractNum>
  <w:abstractNum w:abstractNumId="1" w15:restartNumberingAfterBreak="0">
    <w:nsid w:val="06A35883"/>
    <w:multiLevelType w:val="hybridMultilevel"/>
    <w:tmpl w:val="9F3A0C42"/>
    <w:lvl w:ilvl="0" w:tplc="84064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B7D9F"/>
    <w:multiLevelType w:val="multilevel"/>
    <w:tmpl w:val="2016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3521E"/>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C4882"/>
    <w:multiLevelType w:val="multilevel"/>
    <w:tmpl w:val="DAC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94A6E"/>
    <w:multiLevelType w:val="hybridMultilevel"/>
    <w:tmpl w:val="1C1CCB34"/>
    <w:lvl w:ilvl="0" w:tplc="38BE1A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10F49"/>
    <w:multiLevelType w:val="multilevel"/>
    <w:tmpl w:val="26806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B4F12"/>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6705E"/>
    <w:multiLevelType w:val="hybridMultilevel"/>
    <w:tmpl w:val="5D227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FD04F2"/>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0083C"/>
    <w:multiLevelType w:val="multilevel"/>
    <w:tmpl w:val="4D68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30EB9"/>
    <w:multiLevelType w:val="multilevel"/>
    <w:tmpl w:val="1140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70A52"/>
    <w:multiLevelType w:val="multilevel"/>
    <w:tmpl w:val="43C40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E1515"/>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A325D"/>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95B3A"/>
    <w:multiLevelType w:val="multilevel"/>
    <w:tmpl w:val="2FFE8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F095A"/>
    <w:multiLevelType w:val="multilevel"/>
    <w:tmpl w:val="D0AE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63705"/>
    <w:multiLevelType w:val="multilevel"/>
    <w:tmpl w:val="E08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175C7"/>
    <w:multiLevelType w:val="multilevel"/>
    <w:tmpl w:val="6A7C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F3E3F"/>
    <w:multiLevelType w:val="multilevel"/>
    <w:tmpl w:val="740E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F3DE5"/>
    <w:multiLevelType w:val="multilevel"/>
    <w:tmpl w:val="8012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67D90"/>
    <w:multiLevelType w:val="multilevel"/>
    <w:tmpl w:val="99D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A75DB"/>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4463E7"/>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A35A6"/>
    <w:multiLevelType w:val="multilevel"/>
    <w:tmpl w:val="A554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CC2B2B"/>
    <w:multiLevelType w:val="multilevel"/>
    <w:tmpl w:val="84089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E83684"/>
    <w:multiLevelType w:val="multilevel"/>
    <w:tmpl w:val="DAC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F2E4C"/>
    <w:multiLevelType w:val="multilevel"/>
    <w:tmpl w:val="99D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15D07"/>
    <w:multiLevelType w:val="multilevel"/>
    <w:tmpl w:val="2B98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529CA"/>
    <w:multiLevelType w:val="multilevel"/>
    <w:tmpl w:val="DEF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B5D7B"/>
    <w:multiLevelType w:val="multilevel"/>
    <w:tmpl w:val="1B78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401CA"/>
    <w:multiLevelType w:val="multilevel"/>
    <w:tmpl w:val="BCC0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93B1D"/>
    <w:multiLevelType w:val="multilevel"/>
    <w:tmpl w:val="0122C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462D9"/>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87F89"/>
    <w:multiLevelType w:val="multilevel"/>
    <w:tmpl w:val="DA58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A8718B"/>
    <w:multiLevelType w:val="multilevel"/>
    <w:tmpl w:val="421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A31E6"/>
    <w:multiLevelType w:val="multilevel"/>
    <w:tmpl w:val="27344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794BB1"/>
    <w:multiLevelType w:val="multilevel"/>
    <w:tmpl w:val="0316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C5A38"/>
    <w:multiLevelType w:val="hybridMultilevel"/>
    <w:tmpl w:val="C01682AE"/>
    <w:lvl w:ilvl="0" w:tplc="6DBC4F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9F541D"/>
    <w:multiLevelType w:val="multilevel"/>
    <w:tmpl w:val="6C80C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707629">
    <w:abstractNumId w:val="34"/>
  </w:num>
  <w:num w:numId="2" w16cid:durableId="454981842">
    <w:abstractNumId w:val="18"/>
  </w:num>
  <w:num w:numId="3" w16cid:durableId="1367827968">
    <w:abstractNumId w:val="31"/>
  </w:num>
  <w:num w:numId="4" w16cid:durableId="1138953707">
    <w:abstractNumId w:val="20"/>
  </w:num>
  <w:num w:numId="5" w16cid:durableId="738020842">
    <w:abstractNumId w:val="6"/>
  </w:num>
  <w:num w:numId="6" w16cid:durableId="214200997">
    <w:abstractNumId w:val="30"/>
  </w:num>
  <w:num w:numId="7" w16cid:durableId="1060595015">
    <w:abstractNumId w:val="32"/>
  </w:num>
  <w:num w:numId="8" w16cid:durableId="248853567">
    <w:abstractNumId w:val="12"/>
  </w:num>
  <w:num w:numId="9" w16cid:durableId="940336643">
    <w:abstractNumId w:val="39"/>
  </w:num>
  <w:num w:numId="10" w16cid:durableId="1608350534">
    <w:abstractNumId w:val="28"/>
  </w:num>
  <w:num w:numId="11" w16cid:durableId="1458915719">
    <w:abstractNumId w:val="37"/>
  </w:num>
  <w:num w:numId="12" w16cid:durableId="686711248">
    <w:abstractNumId w:val="2"/>
  </w:num>
  <w:num w:numId="13" w16cid:durableId="1747848362">
    <w:abstractNumId w:val="19"/>
  </w:num>
  <w:num w:numId="14" w16cid:durableId="1374884058">
    <w:abstractNumId w:val="0"/>
  </w:num>
  <w:num w:numId="15" w16cid:durableId="1344433123">
    <w:abstractNumId w:val="10"/>
  </w:num>
  <w:num w:numId="16" w16cid:durableId="513348198">
    <w:abstractNumId w:val="15"/>
  </w:num>
  <w:num w:numId="17" w16cid:durableId="1137995822">
    <w:abstractNumId w:val="36"/>
  </w:num>
  <w:num w:numId="18" w16cid:durableId="1548103515">
    <w:abstractNumId w:val="25"/>
  </w:num>
  <w:num w:numId="19" w16cid:durableId="1810703224">
    <w:abstractNumId w:val="4"/>
  </w:num>
  <w:num w:numId="20" w16cid:durableId="420950664">
    <w:abstractNumId w:val="26"/>
  </w:num>
  <w:num w:numId="21" w16cid:durableId="1383359890">
    <w:abstractNumId w:val="27"/>
  </w:num>
  <w:num w:numId="22" w16cid:durableId="471950311">
    <w:abstractNumId w:val="21"/>
  </w:num>
  <w:num w:numId="23" w16cid:durableId="218902965">
    <w:abstractNumId w:val="13"/>
  </w:num>
  <w:num w:numId="24" w16cid:durableId="1240099476">
    <w:abstractNumId w:val="33"/>
  </w:num>
  <w:num w:numId="25" w16cid:durableId="371852751">
    <w:abstractNumId w:val="3"/>
  </w:num>
  <w:num w:numId="26" w16cid:durableId="2101246315">
    <w:abstractNumId w:val="22"/>
  </w:num>
  <w:num w:numId="27" w16cid:durableId="1777216154">
    <w:abstractNumId w:val="7"/>
  </w:num>
  <w:num w:numId="28" w16cid:durableId="219638509">
    <w:abstractNumId w:val="23"/>
  </w:num>
  <w:num w:numId="29" w16cid:durableId="412242816">
    <w:abstractNumId w:val="9"/>
  </w:num>
  <w:num w:numId="30" w16cid:durableId="1030373954">
    <w:abstractNumId w:val="14"/>
  </w:num>
  <w:num w:numId="31" w16cid:durableId="862934308">
    <w:abstractNumId w:val="17"/>
  </w:num>
  <w:num w:numId="32" w16cid:durableId="1747797010">
    <w:abstractNumId w:val="8"/>
  </w:num>
  <w:num w:numId="33" w16cid:durableId="1137532949">
    <w:abstractNumId w:val="11"/>
  </w:num>
  <w:num w:numId="34" w16cid:durableId="659819298">
    <w:abstractNumId w:val="29"/>
  </w:num>
  <w:num w:numId="35" w16cid:durableId="2038315517">
    <w:abstractNumId w:val="16"/>
  </w:num>
  <w:num w:numId="36" w16cid:durableId="644088273">
    <w:abstractNumId w:val="24"/>
  </w:num>
  <w:num w:numId="37" w16cid:durableId="499201260">
    <w:abstractNumId w:val="35"/>
  </w:num>
  <w:num w:numId="38" w16cid:durableId="1208297162">
    <w:abstractNumId w:val="1"/>
  </w:num>
  <w:num w:numId="39" w16cid:durableId="1988586560">
    <w:abstractNumId w:val="5"/>
  </w:num>
  <w:num w:numId="40" w16cid:durableId="2082232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8E"/>
    <w:rsid w:val="00014099"/>
    <w:rsid w:val="000141FC"/>
    <w:rsid w:val="00016CB1"/>
    <w:rsid w:val="000277DE"/>
    <w:rsid w:val="00041078"/>
    <w:rsid w:val="00060F5A"/>
    <w:rsid w:val="0006776E"/>
    <w:rsid w:val="000835C7"/>
    <w:rsid w:val="0009052C"/>
    <w:rsid w:val="000A0AFD"/>
    <w:rsid w:val="000B76AB"/>
    <w:rsid w:val="000E43F5"/>
    <w:rsid w:val="000F0BB1"/>
    <w:rsid w:val="000F4316"/>
    <w:rsid w:val="00111B03"/>
    <w:rsid w:val="001231E4"/>
    <w:rsid w:val="00157F8C"/>
    <w:rsid w:val="00160F3F"/>
    <w:rsid w:val="00195803"/>
    <w:rsid w:val="001A13D4"/>
    <w:rsid w:val="001C5834"/>
    <w:rsid w:val="001D0527"/>
    <w:rsid w:val="001D4944"/>
    <w:rsid w:val="00230D59"/>
    <w:rsid w:val="00231DE3"/>
    <w:rsid w:val="0026128F"/>
    <w:rsid w:val="00273DD7"/>
    <w:rsid w:val="0028193D"/>
    <w:rsid w:val="00285A4E"/>
    <w:rsid w:val="002B405D"/>
    <w:rsid w:val="002B7698"/>
    <w:rsid w:val="002D28A0"/>
    <w:rsid w:val="002E48A3"/>
    <w:rsid w:val="00311F11"/>
    <w:rsid w:val="003123A8"/>
    <w:rsid w:val="00332CA5"/>
    <w:rsid w:val="00334242"/>
    <w:rsid w:val="003349FB"/>
    <w:rsid w:val="003364C6"/>
    <w:rsid w:val="00344627"/>
    <w:rsid w:val="00344B57"/>
    <w:rsid w:val="00351C90"/>
    <w:rsid w:val="00373ADD"/>
    <w:rsid w:val="00394B8E"/>
    <w:rsid w:val="003B2A16"/>
    <w:rsid w:val="003D4BD6"/>
    <w:rsid w:val="003E723E"/>
    <w:rsid w:val="003F3E3F"/>
    <w:rsid w:val="00400042"/>
    <w:rsid w:val="00401C73"/>
    <w:rsid w:val="0041084A"/>
    <w:rsid w:val="004136B3"/>
    <w:rsid w:val="00430B83"/>
    <w:rsid w:val="0043775D"/>
    <w:rsid w:val="00447B78"/>
    <w:rsid w:val="0045723C"/>
    <w:rsid w:val="00464203"/>
    <w:rsid w:val="00466C7C"/>
    <w:rsid w:val="00482938"/>
    <w:rsid w:val="004B21E4"/>
    <w:rsid w:val="004C320D"/>
    <w:rsid w:val="004D448E"/>
    <w:rsid w:val="004F73C6"/>
    <w:rsid w:val="005214A2"/>
    <w:rsid w:val="00527DEA"/>
    <w:rsid w:val="005426AC"/>
    <w:rsid w:val="005736E0"/>
    <w:rsid w:val="005B7F3A"/>
    <w:rsid w:val="005C1FA9"/>
    <w:rsid w:val="005E1428"/>
    <w:rsid w:val="005F6DF7"/>
    <w:rsid w:val="006001A8"/>
    <w:rsid w:val="00621F5D"/>
    <w:rsid w:val="00653795"/>
    <w:rsid w:val="006614DD"/>
    <w:rsid w:val="006642F1"/>
    <w:rsid w:val="006A13BD"/>
    <w:rsid w:val="006B3BD6"/>
    <w:rsid w:val="006E016A"/>
    <w:rsid w:val="006E2C67"/>
    <w:rsid w:val="00711D3A"/>
    <w:rsid w:val="00715344"/>
    <w:rsid w:val="00732CFC"/>
    <w:rsid w:val="00736FAA"/>
    <w:rsid w:val="00741991"/>
    <w:rsid w:val="00746104"/>
    <w:rsid w:val="00753944"/>
    <w:rsid w:val="00757EB1"/>
    <w:rsid w:val="00795F5C"/>
    <w:rsid w:val="007A3144"/>
    <w:rsid w:val="007C0AD1"/>
    <w:rsid w:val="007D341C"/>
    <w:rsid w:val="007E306F"/>
    <w:rsid w:val="007E3DDC"/>
    <w:rsid w:val="007E66A2"/>
    <w:rsid w:val="007F769E"/>
    <w:rsid w:val="00804862"/>
    <w:rsid w:val="00830B29"/>
    <w:rsid w:val="00835EF0"/>
    <w:rsid w:val="00836B2F"/>
    <w:rsid w:val="00841CC3"/>
    <w:rsid w:val="00863E60"/>
    <w:rsid w:val="00876A87"/>
    <w:rsid w:val="00886399"/>
    <w:rsid w:val="008A672C"/>
    <w:rsid w:val="008B0E10"/>
    <w:rsid w:val="008C1380"/>
    <w:rsid w:val="008F55CB"/>
    <w:rsid w:val="00901506"/>
    <w:rsid w:val="0090174F"/>
    <w:rsid w:val="009235AF"/>
    <w:rsid w:val="00935864"/>
    <w:rsid w:val="00945E09"/>
    <w:rsid w:val="00955DDE"/>
    <w:rsid w:val="0096170E"/>
    <w:rsid w:val="009811EE"/>
    <w:rsid w:val="00982BEF"/>
    <w:rsid w:val="009840B9"/>
    <w:rsid w:val="009B650D"/>
    <w:rsid w:val="009E31EB"/>
    <w:rsid w:val="009E3702"/>
    <w:rsid w:val="00A15BE2"/>
    <w:rsid w:val="00A167A8"/>
    <w:rsid w:val="00A56C07"/>
    <w:rsid w:val="00A8122C"/>
    <w:rsid w:val="00AB3F1C"/>
    <w:rsid w:val="00AC11BA"/>
    <w:rsid w:val="00AC155B"/>
    <w:rsid w:val="00AC52AA"/>
    <w:rsid w:val="00AC6590"/>
    <w:rsid w:val="00AD11B2"/>
    <w:rsid w:val="00AE4900"/>
    <w:rsid w:val="00AE7C3B"/>
    <w:rsid w:val="00B02B4A"/>
    <w:rsid w:val="00B0532A"/>
    <w:rsid w:val="00B07FA3"/>
    <w:rsid w:val="00B2368F"/>
    <w:rsid w:val="00B23A15"/>
    <w:rsid w:val="00B40BE2"/>
    <w:rsid w:val="00B61D1A"/>
    <w:rsid w:val="00B62C6A"/>
    <w:rsid w:val="00B8671C"/>
    <w:rsid w:val="00BA298E"/>
    <w:rsid w:val="00BA763E"/>
    <w:rsid w:val="00BC56CF"/>
    <w:rsid w:val="00BD394E"/>
    <w:rsid w:val="00BE2A82"/>
    <w:rsid w:val="00BE56A2"/>
    <w:rsid w:val="00BE60D5"/>
    <w:rsid w:val="00C00A1D"/>
    <w:rsid w:val="00C137AD"/>
    <w:rsid w:val="00C150B1"/>
    <w:rsid w:val="00C275EA"/>
    <w:rsid w:val="00C27627"/>
    <w:rsid w:val="00C32403"/>
    <w:rsid w:val="00C35A76"/>
    <w:rsid w:val="00C60708"/>
    <w:rsid w:val="00C60B50"/>
    <w:rsid w:val="00C62575"/>
    <w:rsid w:val="00C95A3A"/>
    <w:rsid w:val="00CB17E2"/>
    <w:rsid w:val="00CC1B24"/>
    <w:rsid w:val="00CC4097"/>
    <w:rsid w:val="00CC5E4E"/>
    <w:rsid w:val="00CD2866"/>
    <w:rsid w:val="00CD7826"/>
    <w:rsid w:val="00CE69BD"/>
    <w:rsid w:val="00CF5AA9"/>
    <w:rsid w:val="00D12A50"/>
    <w:rsid w:val="00D61580"/>
    <w:rsid w:val="00D64750"/>
    <w:rsid w:val="00D70424"/>
    <w:rsid w:val="00D750D4"/>
    <w:rsid w:val="00DC4D33"/>
    <w:rsid w:val="00DD78EA"/>
    <w:rsid w:val="00DE19D7"/>
    <w:rsid w:val="00E02724"/>
    <w:rsid w:val="00E163C3"/>
    <w:rsid w:val="00E30B07"/>
    <w:rsid w:val="00E6086A"/>
    <w:rsid w:val="00E81CB2"/>
    <w:rsid w:val="00E83A90"/>
    <w:rsid w:val="00E95FF7"/>
    <w:rsid w:val="00EB294D"/>
    <w:rsid w:val="00EC4FB1"/>
    <w:rsid w:val="00EE516F"/>
    <w:rsid w:val="00EF5063"/>
    <w:rsid w:val="00F0145E"/>
    <w:rsid w:val="00F0237F"/>
    <w:rsid w:val="00F14221"/>
    <w:rsid w:val="00F37347"/>
    <w:rsid w:val="00F42702"/>
    <w:rsid w:val="00F5131C"/>
    <w:rsid w:val="00F54362"/>
    <w:rsid w:val="00F605D0"/>
    <w:rsid w:val="00F7064B"/>
    <w:rsid w:val="00FA6521"/>
    <w:rsid w:val="00FA6993"/>
    <w:rsid w:val="00FB004C"/>
    <w:rsid w:val="00FC1E7A"/>
    <w:rsid w:val="00FE06D2"/>
    <w:rsid w:val="00FE14DF"/>
    <w:rsid w:val="00FE3BBD"/>
    <w:rsid w:val="00FF583E"/>
    <w:rsid w:val="00FF6AF8"/>
    <w:rsid w:val="036ECDD5"/>
    <w:rsid w:val="04D8D274"/>
    <w:rsid w:val="075E954B"/>
    <w:rsid w:val="07A73A78"/>
    <w:rsid w:val="0B9D5920"/>
    <w:rsid w:val="0C6AC9CC"/>
    <w:rsid w:val="0F52CF0B"/>
    <w:rsid w:val="14A56818"/>
    <w:rsid w:val="15263B2A"/>
    <w:rsid w:val="15AA4DC3"/>
    <w:rsid w:val="18328BDF"/>
    <w:rsid w:val="1966A18A"/>
    <w:rsid w:val="1F65AE18"/>
    <w:rsid w:val="1F913562"/>
    <w:rsid w:val="1FAE55C5"/>
    <w:rsid w:val="1FBA17AD"/>
    <w:rsid w:val="246A52C4"/>
    <w:rsid w:val="2E6D007A"/>
    <w:rsid w:val="3201BF8A"/>
    <w:rsid w:val="356B181F"/>
    <w:rsid w:val="384B33C7"/>
    <w:rsid w:val="39262698"/>
    <w:rsid w:val="39DFC55D"/>
    <w:rsid w:val="3C462703"/>
    <w:rsid w:val="3E143631"/>
    <w:rsid w:val="3EDE1A3D"/>
    <w:rsid w:val="41B5D91B"/>
    <w:rsid w:val="4FAB483B"/>
    <w:rsid w:val="523172E8"/>
    <w:rsid w:val="527C376C"/>
    <w:rsid w:val="52E4DA36"/>
    <w:rsid w:val="54DF2A08"/>
    <w:rsid w:val="54F1802F"/>
    <w:rsid w:val="560C53A4"/>
    <w:rsid w:val="60BE5E86"/>
    <w:rsid w:val="65F1EA91"/>
    <w:rsid w:val="66F71DE7"/>
    <w:rsid w:val="6982FA07"/>
    <w:rsid w:val="6D576EF3"/>
    <w:rsid w:val="728F317B"/>
    <w:rsid w:val="72C14C3E"/>
    <w:rsid w:val="76053464"/>
    <w:rsid w:val="76A2262A"/>
    <w:rsid w:val="7AAF05DD"/>
    <w:rsid w:val="7D9EF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C0D6"/>
  <w15:chartTrackingRefBased/>
  <w15:docId w15:val="{847ED0D5-96F3-4668-A95B-936AB255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A2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2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A2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98E"/>
    <w:rPr>
      <w:rFonts w:eastAsiaTheme="majorEastAsia" w:cstheme="majorBidi"/>
      <w:color w:val="272727" w:themeColor="text1" w:themeTint="D8"/>
    </w:rPr>
  </w:style>
  <w:style w:type="paragraph" w:styleId="Title">
    <w:name w:val="Title"/>
    <w:basedOn w:val="Normal"/>
    <w:next w:val="Normal"/>
    <w:link w:val="TitleChar"/>
    <w:uiPriority w:val="10"/>
    <w:qFormat/>
    <w:rsid w:val="00BA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98E"/>
    <w:pPr>
      <w:spacing w:before="160"/>
      <w:jc w:val="center"/>
    </w:pPr>
    <w:rPr>
      <w:i/>
      <w:iCs/>
      <w:color w:val="404040" w:themeColor="text1" w:themeTint="BF"/>
    </w:rPr>
  </w:style>
  <w:style w:type="character" w:customStyle="1" w:styleId="QuoteChar">
    <w:name w:val="Quote Char"/>
    <w:basedOn w:val="DefaultParagraphFont"/>
    <w:link w:val="Quote"/>
    <w:uiPriority w:val="29"/>
    <w:rsid w:val="00BA298E"/>
    <w:rPr>
      <w:i/>
      <w:iCs/>
      <w:color w:val="404040" w:themeColor="text1" w:themeTint="BF"/>
    </w:rPr>
  </w:style>
  <w:style w:type="paragraph" w:styleId="ListParagraph">
    <w:name w:val="List Paragraph"/>
    <w:basedOn w:val="Normal"/>
    <w:uiPriority w:val="34"/>
    <w:qFormat/>
    <w:rsid w:val="00BA298E"/>
    <w:pPr>
      <w:ind w:left="720"/>
      <w:contextualSpacing/>
    </w:pPr>
  </w:style>
  <w:style w:type="character" w:styleId="IntenseEmphasis">
    <w:name w:val="Intense Emphasis"/>
    <w:basedOn w:val="DefaultParagraphFont"/>
    <w:uiPriority w:val="21"/>
    <w:qFormat/>
    <w:rsid w:val="00BA298E"/>
    <w:rPr>
      <w:i/>
      <w:iCs/>
      <w:color w:val="0F4761" w:themeColor="accent1" w:themeShade="BF"/>
    </w:rPr>
  </w:style>
  <w:style w:type="paragraph" w:styleId="IntenseQuote">
    <w:name w:val="Intense Quote"/>
    <w:basedOn w:val="Normal"/>
    <w:next w:val="Normal"/>
    <w:link w:val="IntenseQuoteChar"/>
    <w:uiPriority w:val="30"/>
    <w:qFormat/>
    <w:rsid w:val="00BA2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98E"/>
    <w:rPr>
      <w:i/>
      <w:iCs/>
      <w:color w:val="0F4761" w:themeColor="accent1" w:themeShade="BF"/>
    </w:rPr>
  </w:style>
  <w:style w:type="character" w:styleId="IntenseReference">
    <w:name w:val="Intense Reference"/>
    <w:basedOn w:val="DefaultParagraphFont"/>
    <w:uiPriority w:val="32"/>
    <w:qFormat/>
    <w:rsid w:val="00BA298E"/>
    <w:rPr>
      <w:b/>
      <w:bCs/>
      <w:smallCaps/>
      <w:color w:val="0F4761" w:themeColor="accent1" w:themeShade="BF"/>
      <w:spacing w:val="5"/>
    </w:rPr>
  </w:style>
  <w:style w:type="paragraph" w:styleId="Header">
    <w:name w:val="header"/>
    <w:basedOn w:val="Normal"/>
    <w:link w:val="HeaderChar"/>
    <w:uiPriority w:val="99"/>
    <w:unhideWhenUsed/>
    <w:rsid w:val="00285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4E"/>
  </w:style>
  <w:style w:type="paragraph" w:styleId="Footer">
    <w:name w:val="footer"/>
    <w:basedOn w:val="Normal"/>
    <w:link w:val="FooterChar"/>
    <w:uiPriority w:val="99"/>
    <w:unhideWhenUsed/>
    <w:rsid w:val="00285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4E"/>
  </w:style>
  <w:style w:type="table" w:styleId="TableGrid">
    <w:name w:val="Table Grid"/>
    <w:basedOn w:val="TableNormal"/>
    <w:uiPriority w:val="39"/>
    <w:rsid w:val="00FA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242"/>
    <w:rPr>
      <w:color w:val="467886" w:themeColor="hyperlink"/>
      <w:u w:val="single"/>
    </w:rPr>
  </w:style>
  <w:style w:type="character" w:styleId="UnresolvedMention">
    <w:name w:val="Unresolved Mention"/>
    <w:basedOn w:val="DefaultParagraphFont"/>
    <w:uiPriority w:val="99"/>
    <w:semiHidden/>
    <w:unhideWhenUsed/>
    <w:rsid w:val="00334242"/>
    <w:rPr>
      <w:color w:val="605E5C"/>
      <w:shd w:val="clear" w:color="auto" w:fill="E1DFDD"/>
    </w:rPr>
  </w:style>
  <w:style w:type="character" w:styleId="CommentReference">
    <w:name w:val="annotation reference"/>
    <w:basedOn w:val="DefaultParagraphFont"/>
    <w:uiPriority w:val="99"/>
    <w:semiHidden/>
    <w:unhideWhenUsed/>
    <w:rsid w:val="003349FB"/>
    <w:rPr>
      <w:sz w:val="16"/>
      <w:szCs w:val="16"/>
    </w:rPr>
  </w:style>
  <w:style w:type="paragraph" w:styleId="CommentText">
    <w:name w:val="annotation text"/>
    <w:basedOn w:val="Normal"/>
    <w:link w:val="CommentTextChar"/>
    <w:uiPriority w:val="99"/>
    <w:unhideWhenUsed/>
    <w:rsid w:val="003349FB"/>
    <w:pPr>
      <w:spacing w:line="240" w:lineRule="auto"/>
    </w:pPr>
    <w:rPr>
      <w:sz w:val="20"/>
      <w:szCs w:val="20"/>
    </w:rPr>
  </w:style>
  <w:style w:type="character" w:customStyle="1" w:styleId="CommentTextChar">
    <w:name w:val="Comment Text Char"/>
    <w:basedOn w:val="DefaultParagraphFont"/>
    <w:link w:val="CommentText"/>
    <w:uiPriority w:val="99"/>
    <w:rsid w:val="003349FB"/>
    <w:rPr>
      <w:sz w:val="20"/>
      <w:szCs w:val="20"/>
    </w:rPr>
  </w:style>
  <w:style w:type="paragraph" w:styleId="CommentSubject">
    <w:name w:val="annotation subject"/>
    <w:basedOn w:val="CommentText"/>
    <w:next w:val="CommentText"/>
    <w:link w:val="CommentSubjectChar"/>
    <w:uiPriority w:val="99"/>
    <w:semiHidden/>
    <w:unhideWhenUsed/>
    <w:rsid w:val="003349FB"/>
    <w:rPr>
      <w:b/>
      <w:bCs/>
    </w:rPr>
  </w:style>
  <w:style w:type="character" w:customStyle="1" w:styleId="CommentSubjectChar">
    <w:name w:val="Comment Subject Char"/>
    <w:basedOn w:val="CommentTextChar"/>
    <w:link w:val="CommentSubject"/>
    <w:uiPriority w:val="99"/>
    <w:semiHidden/>
    <w:rsid w:val="003349FB"/>
    <w:rPr>
      <w:b/>
      <w:bCs/>
      <w:sz w:val="20"/>
      <w:szCs w:val="20"/>
    </w:rPr>
  </w:style>
  <w:style w:type="paragraph" w:styleId="Revision">
    <w:name w:val="Revision"/>
    <w:hidden/>
    <w:uiPriority w:val="99"/>
    <w:semiHidden/>
    <w:rsid w:val="00C60B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4556">
      <w:bodyDiv w:val="1"/>
      <w:marLeft w:val="0"/>
      <w:marRight w:val="0"/>
      <w:marTop w:val="0"/>
      <w:marBottom w:val="0"/>
      <w:divBdr>
        <w:top w:val="none" w:sz="0" w:space="0" w:color="auto"/>
        <w:left w:val="none" w:sz="0" w:space="0" w:color="auto"/>
        <w:bottom w:val="none" w:sz="0" w:space="0" w:color="auto"/>
        <w:right w:val="none" w:sz="0" w:space="0" w:color="auto"/>
      </w:divBdr>
      <w:divsChild>
        <w:div w:id="413362840">
          <w:marLeft w:val="0"/>
          <w:marRight w:val="0"/>
          <w:marTop w:val="0"/>
          <w:marBottom w:val="100"/>
          <w:divBdr>
            <w:top w:val="none" w:sz="0" w:space="0" w:color="auto"/>
            <w:left w:val="none" w:sz="0" w:space="0" w:color="auto"/>
            <w:bottom w:val="none" w:sz="0" w:space="0" w:color="auto"/>
            <w:right w:val="none" w:sz="0" w:space="0" w:color="auto"/>
          </w:divBdr>
          <w:divsChild>
            <w:div w:id="93860677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7660420">
      <w:bodyDiv w:val="1"/>
      <w:marLeft w:val="0"/>
      <w:marRight w:val="0"/>
      <w:marTop w:val="0"/>
      <w:marBottom w:val="0"/>
      <w:divBdr>
        <w:top w:val="none" w:sz="0" w:space="0" w:color="auto"/>
        <w:left w:val="none" w:sz="0" w:space="0" w:color="auto"/>
        <w:bottom w:val="none" w:sz="0" w:space="0" w:color="auto"/>
        <w:right w:val="none" w:sz="0" w:space="0" w:color="auto"/>
      </w:divBdr>
      <w:divsChild>
        <w:div w:id="1840148600">
          <w:marLeft w:val="0"/>
          <w:marRight w:val="0"/>
          <w:marTop w:val="0"/>
          <w:marBottom w:val="100"/>
          <w:divBdr>
            <w:top w:val="none" w:sz="0" w:space="0" w:color="auto"/>
            <w:left w:val="none" w:sz="0" w:space="0" w:color="auto"/>
            <w:bottom w:val="none" w:sz="0" w:space="0" w:color="auto"/>
            <w:right w:val="none" w:sz="0" w:space="0" w:color="auto"/>
          </w:divBdr>
          <w:divsChild>
            <w:div w:id="2028372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bpotatoes@janecraigie.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612f23d48421d8c23de96264e7692799">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12b9acfcb358600da3b33269c3c46dc"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F8D833-6729-483C-AD42-B8CA9F277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29BA6-8305-4027-8DCB-18A74367F5C3}">
  <ds:schemaRefs>
    <ds:schemaRef ds:uri="http://schemas.microsoft.com/sharepoint/v3/contenttype/forms"/>
  </ds:schemaRefs>
</ds:datastoreItem>
</file>

<file path=customXml/itemProps3.xml><?xml version="1.0" encoding="utf-8"?>
<ds:datastoreItem xmlns:ds="http://schemas.openxmlformats.org/officeDocument/2006/customXml" ds:itemID="{E683EE1B-DE64-426E-84C6-E46C488DB6B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3282</Characters>
  <Application>Microsoft Office Word</Application>
  <DocSecurity>0</DocSecurity>
  <Lines>273</Lines>
  <Paragraphs>294</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2</cp:revision>
  <dcterms:created xsi:type="dcterms:W3CDTF">2025-12-05T10:34:00Z</dcterms:created>
  <dcterms:modified xsi:type="dcterms:W3CDTF">2025-12-05T10:34:00Z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