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AB9F9" w14:textId="4DA432F1" w:rsidR="61662BD1" w:rsidRDefault="61662BD1" w:rsidP="61662BD1">
      <w:pPr>
        <w:spacing w:after="0"/>
        <w:rPr>
          <w:b/>
          <w:bCs/>
        </w:rPr>
      </w:pPr>
    </w:p>
    <w:p w14:paraId="231CC828" w14:textId="1BFBE9A1" w:rsidR="00AD0A39" w:rsidRDefault="61662BD1" w:rsidP="61662BD1">
      <w:pPr>
        <w:spacing w:after="0"/>
        <w:rPr>
          <w:b/>
          <w:bCs/>
          <w:sz w:val="24"/>
          <w:szCs w:val="24"/>
        </w:rPr>
      </w:pPr>
      <w:r w:rsidRPr="61662BD1">
        <w:rPr>
          <w:b/>
          <w:bCs/>
          <w:sz w:val="24"/>
          <w:szCs w:val="24"/>
        </w:rPr>
        <w:t>Press Release</w:t>
      </w:r>
    </w:p>
    <w:p w14:paraId="3C820D12" w14:textId="623086C8" w:rsidR="00260CB7" w:rsidRPr="00260CB7" w:rsidRDefault="003B2896" w:rsidP="61662BD1">
      <w:pPr>
        <w:spacing w:after="0"/>
        <w:rPr>
          <w:sz w:val="28"/>
          <w:szCs w:val="28"/>
        </w:rPr>
      </w:pPr>
      <w:r>
        <w:rPr>
          <w:sz w:val="24"/>
          <w:szCs w:val="24"/>
        </w:rPr>
        <w:t>3 August</w:t>
      </w:r>
      <w:r w:rsidR="61662BD1" w:rsidRPr="61662BD1">
        <w:rPr>
          <w:sz w:val="24"/>
          <w:szCs w:val="24"/>
        </w:rPr>
        <w:t xml:space="preserve"> 2026</w:t>
      </w:r>
    </w:p>
    <w:p w14:paraId="6E4AE9B8" w14:textId="0A8CEED2" w:rsidR="00260CB7" w:rsidRPr="00260CB7" w:rsidRDefault="61662BD1" w:rsidP="61662BD1">
      <w:pPr>
        <w:spacing w:after="0"/>
        <w:rPr>
          <w:sz w:val="28"/>
          <w:szCs w:val="28"/>
        </w:rPr>
      </w:pPr>
      <w:r w:rsidRPr="61662BD1">
        <w:rPr>
          <w:sz w:val="24"/>
          <w:szCs w:val="24"/>
        </w:rPr>
        <w:t>For Immediate Use</w:t>
      </w:r>
    </w:p>
    <w:p w14:paraId="430C0585" w14:textId="77777777" w:rsidR="00260CB7" w:rsidRDefault="00260CB7" w:rsidP="61662BD1">
      <w:pPr>
        <w:spacing w:after="0"/>
        <w:rPr>
          <w:b/>
          <w:bCs/>
          <w:sz w:val="24"/>
          <w:szCs w:val="24"/>
        </w:rPr>
      </w:pPr>
    </w:p>
    <w:p w14:paraId="7A21A928" w14:textId="76A683E7" w:rsidR="00EB545D" w:rsidRDefault="00430E52" w:rsidP="61662BD1">
      <w:pPr>
        <w:rPr>
          <w:b/>
          <w:bCs/>
          <w:sz w:val="24"/>
          <w:szCs w:val="24"/>
        </w:rPr>
      </w:pPr>
      <w:r>
        <w:rPr>
          <w:b/>
          <w:bCs/>
          <w:sz w:val="24"/>
          <w:szCs w:val="24"/>
        </w:rPr>
        <w:t>Potato g</w:t>
      </w:r>
      <w:r w:rsidR="61662BD1" w:rsidRPr="61662BD1">
        <w:rPr>
          <w:b/>
          <w:bCs/>
          <w:sz w:val="24"/>
          <w:szCs w:val="24"/>
        </w:rPr>
        <w:t xml:space="preserve">rowers urged to submit store samples as CIPC monitoring deadline approaches </w:t>
      </w:r>
    </w:p>
    <w:p w14:paraId="4EBB71E5" w14:textId="5D94E4A2" w:rsidR="104C7617" w:rsidRDefault="61662BD1" w:rsidP="61662BD1">
      <w:pPr>
        <w:spacing w:before="240" w:after="240"/>
        <w:rPr>
          <w:rFonts w:ascii="Aptos" w:eastAsia="Aptos" w:hAnsi="Aptos" w:cs="Aptos"/>
          <w:sz w:val="28"/>
          <w:szCs w:val="28"/>
        </w:rPr>
      </w:pPr>
      <w:r w:rsidRPr="61662BD1">
        <w:rPr>
          <w:sz w:val="24"/>
          <w:szCs w:val="24"/>
        </w:rPr>
        <w:t xml:space="preserve">GB Potatoes and the CIPC Residues Monitoring Group (CRMG) are urging potato growers and store managers to prioritise store cleaning </w:t>
      </w:r>
      <w:r w:rsidRPr="61662BD1">
        <w:rPr>
          <w:rFonts w:ascii="Aptos" w:eastAsia="Aptos" w:hAnsi="Aptos" w:cs="Aptos"/>
          <w:sz w:val="24"/>
          <w:szCs w:val="24"/>
        </w:rPr>
        <w:t>and to submit their residue sampling results before the 31 August.</w:t>
      </w:r>
    </w:p>
    <w:p w14:paraId="63FC58EE" w14:textId="6F25580E" w:rsidR="104C7617" w:rsidRDefault="61662BD1" w:rsidP="61662BD1">
      <w:pPr>
        <w:spacing w:before="240" w:after="240"/>
        <w:rPr>
          <w:rFonts w:ascii="Aptos" w:eastAsia="Aptos" w:hAnsi="Aptos" w:cs="Aptos"/>
          <w:sz w:val="28"/>
          <w:szCs w:val="28"/>
        </w:rPr>
      </w:pPr>
      <w:r w:rsidRPr="61662BD1">
        <w:rPr>
          <w:rFonts w:ascii="Aptos" w:eastAsia="Aptos" w:hAnsi="Aptos" w:cs="Aptos"/>
          <w:sz w:val="24"/>
          <w:szCs w:val="24"/>
        </w:rPr>
        <w:t>The latest CRMG surveillance data shows that chlorpropham (CIPC) residues detected in potato stores remain within the current permitted limit. Residue levels are continuing to decline, demonstrating the progress made by the industry since CIPC was withdrawn in 2020.</w:t>
      </w:r>
    </w:p>
    <w:p w14:paraId="7A8882EF" w14:textId="6CDE8585" w:rsidR="104C7617" w:rsidRDefault="61662BD1" w:rsidP="61662BD1">
      <w:pPr>
        <w:rPr>
          <w:rFonts w:ascii="Aptos" w:eastAsia="Aptos" w:hAnsi="Aptos" w:cs="Aptos"/>
          <w:sz w:val="28"/>
          <w:szCs w:val="28"/>
        </w:rPr>
      </w:pPr>
      <w:r w:rsidRPr="61662BD1">
        <w:rPr>
          <w:rFonts w:ascii="Aptos" w:eastAsia="Aptos" w:hAnsi="Aptos" w:cs="Aptos"/>
          <w:sz w:val="24"/>
          <w:szCs w:val="24"/>
        </w:rPr>
        <w:t>Around one in seven stores is still returning a detectable CIPC residue, compared with approximately one in four during the first year of monitoring. While these detections are within acceptable regulatory levels, the results show that historic residues can remain in stores and underline the importance of continued thorough cleaning.</w:t>
      </w:r>
    </w:p>
    <w:p w14:paraId="5F0CBF15" w14:textId="29B1E24C" w:rsidR="00DD7914" w:rsidRPr="00DD7914" w:rsidRDefault="61662BD1" w:rsidP="61662BD1">
      <w:pPr>
        <w:rPr>
          <w:sz w:val="28"/>
          <w:szCs w:val="28"/>
        </w:rPr>
      </w:pPr>
      <w:r w:rsidRPr="61662BD1">
        <w:rPr>
          <w:sz w:val="24"/>
          <w:szCs w:val="24"/>
        </w:rPr>
        <w:t>Adrian Cunnington, Chair of CRMG, said: "The trend is encouraging and the industry deserves credit for the progress made. But we cannot be complacent. With around one in seven stores still showing a positive result, there is clearly more work to do, and thorough cleaning between storage seasons remains the single most important action growers can take."</w:t>
      </w:r>
    </w:p>
    <w:p w14:paraId="3D2940F4" w14:textId="6152E6F2" w:rsidR="00867EE1" w:rsidRPr="00DD7914" w:rsidRDefault="61662BD1" w:rsidP="61662BD1">
      <w:pPr>
        <w:rPr>
          <w:sz w:val="28"/>
          <w:szCs w:val="28"/>
        </w:rPr>
      </w:pPr>
      <w:r w:rsidRPr="61662BD1">
        <w:rPr>
          <w:rFonts w:ascii="Aptos" w:eastAsia="Aptos" w:hAnsi="Aptos" w:cs="Aptos"/>
          <w:sz w:val="24"/>
          <w:szCs w:val="24"/>
        </w:rPr>
        <w:t xml:space="preserve">The CRMG is particularly encouraging growers and store managers supplying the fresh sector to participate in this season’s monitoring programme. The programme has received strong support from the processing sector, but fresh-sector stores remain less well represented.  </w:t>
      </w:r>
      <w:r w:rsidRPr="61662BD1">
        <w:rPr>
          <w:sz w:val="24"/>
          <w:szCs w:val="24"/>
        </w:rPr>
        <w:t>The deadline for residue sampling results submission is 31 August, with data then to be collated and submitted to the regulator by mid-September.</w:t>
      </w:r>
    </w:p>
    <w:p w14:paraId="5FC3EE1A" w14:textId="68EB5390" w:rsidR="00DD7914" w:rsidRPr="00DD7914" w:rsidRDefault="61662BD1" w:rsidP="61662BD1">
      <w:pPr>
        <w:rPr>
          <w:sz w:val="28"/>
          <w:szCs w:val="28"/>
        </w:rPr>
      </w:pPr>
      <w:r w:rsidRPr="61662BD1">
        <w:rPr>
          <w:sz w:val="24"/>
          <w:szCs w:val="24"/>
        </w:rPr>
        <w:t xml:space="preserve">The current temporary Maximum Residue Level (tMRL) for CIPC stands at 0.35mg/kg. </w:t>
      </w:r>
      <w:r w:rsidRPr="61662BD1">
        <w:rPr>
          <w:rFonts w:ascii="Aptos" w:eastAsia="Aptos" w:hAnsi="Aptos" w:cs="Aptos"/>
          <w:sz w:val="24"/>
          <w:szCs w:val="24"/>
        </w:rPr>
        <w:t xml:space="preserve">Monitoring results remain below this acceptable limit, but continued sampling and effective store cleaning are essential to demonstrate ongoing compliance and prepare the industry should regulatory </w:t>
      </w:r>
      <w:r w:rsidRPr="61662BD1">
        <w:rPr>
          <w:sz w:val="24"/>
          <w:szCs w:val="24"/>
        </w:rPr>
        <w:t>thresholds tighten in future.</w:t>
      </w:r>
    </w:p>
    <w:p w14:paraId="78C6B1AE" w14:textId="34B9FBB7" w:rsidR="008B73DA" w:rsidRDefault="61662BD1">
      <w:pPr>
        <w:rPr>
          <w:sz w:val="24"/>
          <w:szCs w:val="24"/>
        </w:rPr>
      </w:pPr>
      <w:r w:rsidRPr="61662BD1">
        <w:rPr>
          <w:sz w:val="24"/>
          <w:szCs w:val="24"/>
        </w:rPr>
        <w:lastRenderedPageBreak/>
        <w:t xml:space="preserve">More information, full store cleaning guidance and submission forms for sampling are available at </w:t>
      </w:r>
      <w:hyperlink r:id="rId9" w:history="1">
        <w:r w:rsidR="00F33776" w:rsidRPr="004032CE">
          <w:rPr>
            <w:rStyle w:val="Hyperlink"/>
            <w:sz w:val="24"/>
            <w:szCs w:val="24"/>
          </w:rPr>
          <w:t>www.gb-potatoes.co.uk/growers-urged-to-submit-store-samples/</w:t>
        </w:r>
      </w:hyperlink>
      <w:r w:rsidR="008B6EAF">
        <w:rPr>
          <w:sz w:val="24"/>
          <w:szCs w:val="24"/>
        </w:rPr>
        <w:t xml:space="preserve"> </w:t>
      </w:r>
    </w:p>
    <w:p w14:paraId="12D0F7C9" w14:textId="77777777" w:rsidR="007436CA" w:rsidRPr="00C27627" w:rsidRDefault="007436CA" w:rsidP="007436CA">
      <w:pPr>
        <w:rPr>
          <w:rFonts w:ascii="Aptos" w:eastAsia="Aptos" w:hAnsi="Aptos" w:cs="Aptos"/>
          <w:color w:val="000000" w:themeColor="text1"/>
        </w:rPr>
      </w:pPr>
      <w:r w:rsidRPr="72C14C3E">
        <w:rPr>
          <w:rFonts w:ascii="Aptos" w:eastAsia="Aptos" w:hAnsi="Aptos" w:cs="Aptos"/>
          <w:b/>
          <w:bCs/>
          <w:color w:val="000000" w:themeColor="text1"/>
        </w:rPr>
        <w:t>Notes to editors</w:t>
      </w:r>
    </w:p>
    <w:p w14:paraId="75BEA0AD" w14:textId="77777777" w:rsidR="007436CA" w:rsidRPr="00C27627" w:rsidRDefault="007436CA" w:rsidP="007436CA">
      <w:pPr>
        <w:rPr>
          <w:rFonts w:ascii="Aptos" w:eastAsia="Aptos" w:hAnsi="Aptos" w:cs="Aptos"/>
          <w:color w:val="000000" w:themeColor="text1"/>
        </w:rPr>
      </w:pPr>
      <w:r w:rsidRPr="72C14C3E">
        <w:rPr>
          <w:rFonts w:ascii="Aptos" w:eastAsia="Aptos" w:hAnsi="Aptos" w:cs="Aptos"/>
          <w:color w:val="000000" w:themeColor="text1"/>
        </w:rPr>
        <w:t xml:space="preserve">CIPC Residues Monitoring Group (CRMG) is a cross‑industry body established by the UK potato sector to meet the data submission requirements of the Health &amp; Safety Executive’s Chemical Regulation Division (CRD). </w:t>
      </w:r>
    </w:p>
    <w:p w14:paraId="2D2708B5" w14:textId="77777777" w:rsidR="007436CA" w:rsidRPr="00C27627" w:rsidRDefault="007436CA" w:rsidP="007436CA">
      <w:pPr>
        <w:rPr>
          <w:rFonts w:ascii="Aptos" w:eastAsia="Aptos" w:hAnsi="Aptos" w:cs="Aptos"/>
          <w:color w:val="000000" w:themeColor="text1"/>
        </w:rPr>
      </w:pPr>
      <w:r w:rsidRPr="72C14C3E">
        <w:rPr>
          <w:rFonts w:ascii="Aptos" w:eastAsia="Aptos" w:hAnsi="Aptos" w:cs="Aptos"/>
          <w:color w:val="000000" w:themeColor="text1"/>
        </w:rPr>
        <w:t xml:space="preserve">The Group’s remit is to measure </w:t>
      </w:r>
      <w:proofErr w:type="spellStart"/>
      <w:r w:rsidRPr="72C14C3E">
        <w:rPr>
          <w:rFonts w:ascii="Aptos" w:eastAsia="Aptos" w:hAnsi="Aptos" w:cs="Aptos"/>
          <w:color w:val="000000" w:themeColor="text1"/>
        </w:rPr>
        <w:t>chlorpropham</w:t>
      </w:r>
      <w:proofErr w:type="spellEnd"/>
      <w:r w:rsidRPr="72C14C3E">
        <w:rPr>
          <w:rFonts w:ascii="Aptos" w:eastAsia="Aptos" w:hAnsi="Aptos" w:cs="Aptos"/>
          <w:color w:val="000000" w:themeColor="text1"/>
        </w:rPr>
        <w:t xml:space="preserve"> (CIPC) residues in potatoes stored in facilities that were previously treated with CIPC.</w:t>
      </w:r>
    </w:p>
    <w:p w14:paraId="4D85C4F8" w14:textId="77777777" w:rsidR="007436CA" w:rsidRPr="00C27627" w:rsidRDefault="007436CA" w:rsidP="007436CA">
      <w:pPr>
        <w:rPr>
          <w:rFonts w:ascii="Aptos" w:eastAsia="Aptos" w:hAnsi="Aptos" w:cs="Aptos"/>
          <w:color w:val="000000" w:themeColor="text1"/>
        </w:rPr>
      </w:pPr>
      <w:r w:rsidRPr="72C14C3E">
        <w:rPr>
          <w:rFonts w:ascii="Aptos" w:eastAsia="Aptos" w:hAnsi="Aptos" w:cs="Aptos"/>
          <w:color w:val="000000" w:themeColor="text1"/>
        </w:rPr>
        <w:t>This monitoring follows CRD’s introduction of a temporary Maximum Residue Level (</w:t>
      </w:r>
      <w:proofErr w:type="spellStart"/>
      <w:r w:rsidRPr="72C14C3E">
        <w:rPr>
          <w:rFonts w:ascii="Aptos" w:eastAsia="Aptos" w:hAnsi="Aptos" w:cs="Aptos"/>
          <w:color w:val="000000" w:themeColor="text1"/>
        </w:rPr>
        <w:t>tMRL</w:t>
      </w:r>
      <w:proofErr w:type="spellEnd"/>
      <w:r w:rsidRPr="72C14C3E">
        <w:rPr>
          <w:rFonts w:ascii="Aptos" w:eastAsia="Aptos" w:hAnsi="Aptos" w:cs="Aptos"/>
          <w:color w:val="000000" w:themeColor="text1"/>
        </w:rPr>
        <w:t>) of 0.35 mg/kg, effective from 10 April 2024.</w:t>
      </w:r>
    </w:p>
    <w:p w14:paraId="1FE2474C" w14:textId="77777777" w:rsidR="007436CA" w:rsidRPr="00C27627" w:rsidRDefault="007436CA" w:rsidP="007436CA">
      <w:pPr>
        <w:rPr>
          <w:rFonts w:ascii="Aptos" w:eastAsia="Aptos" w:hAnsi="Aptos" w:cs="Aptos"/>
          <w:color w:val="000000" w:themeColor="text1"/>
        </w:rPr>
      </w:pPr>
      <w:r w:rsidRPr="72C14C3E">
        <w:rPr>
          <w:rFonts w:ascii="Aptos" w:eastAsia="Aptos" w:hAnsi="Aptos" w:cs="Aptos"/>
          <w:color w:val="000000" w:themeColor="text1"/>
        </w:rPr>
        <w:t>CIPC is no longer approved for use in the UK, but residues remain in stores. Monitoring ensures that these facilities can continue to be used safely.</w:t>
      </w:r>
    </w:p>
    <w:p w14:paraId="46D5E2FC" w14:textId="77777777" w:rsidR="007436CA" w:rsidRPr="00C27627" w:rsidRDefault="007436CA" w:rsidP="007436CA">
      <w:pPr>
        <w:rPr>
          <w:rFonts w:ascii="Aptos" w:eastAsia="Aptos" w:hAnsi="Aptos" w:cs="Aptos"/>
          <w:color w:val="000000" w:themeColor="text1"/>
        </w:rPr>
      </w:pPr>
      <w:r w:rsidRPr="72C14C3E">
        <w:rPr>
          <w:rFonts w:ascii="Aptos" w:eastAsia="Aptos" w:hAnsi="Aptos" w:cs="Aptos"/>
          <w:color w:val="000000" w:themeColor="text1"/>
        </w:rPr>
        <w:t>It is essential that the industry provides the requested data. Failure to do so could result in all potato stores with a CIPC history being taken out of use.</w:t>
      </w:r>
    </w:p>
    <w:p w14:paraId="1671B61D" w14:textId="77777777" w:rsidR="007436CA" w:rsidRPr="00C27627" w:rsidRDefault="007436CA" w:rsidP="007436CA">
      <w:pPr>
        <w:rPr>
          <w:rFonts w:ascii="Aptos" w:eastAsia="Aptos" w:hAnsi="Aptos" w:cs="Aptos"/>
          <w:color w:val="000000" w:themeColor="text1"/>
        </w:rPr>
      </w:pPr>
      <w:r w:rsidRPr="72C14C3E">
        <w:rPr>
          <w:rFonts w:ascii="Aptos" w:eastAsia="Aptos" w:hAnsi="Aptos" w:cs="Aptos"/>
          <w:color w:val="000000" w:themeColor="text1"/>
        </w:rPr>
        <w:t xml:space="preserve">CRMG has secured pan‑industry support, with representatives from GB Potatoes, UK Potato Processors Association, Fresh Potato Suppliers Association, National Farmers Union, National Association of Agricultural Contractors (Postharvest Group), Certis </w:t>
      </w:r>
      <w:proofErr w:type="spellStart"/>
      <w:r w:rsidRPr="72C14C3E">
        <w:rPr>
          <w:rFonts w:ascii="Aptos" w:eastAsia="Aptos" w:hAnsi="Aptos" w:cs="Aptos"/>
          <w:color w:val="000000" w:themeColor="text1"/>
        </w:rPr>
        <w:t>Belchim</w:t>
      </w:r>
      <w:proofErr w:type="spellEnd"/>
      <w:r w:rsidRPr="72C14C3E">
        <w:rPr>
          <w:rFonts w:ascii="Aptos" w:eastAsia="Aptos" w:hAnsi="Aptos" w:cs="Aptos"/>
          <w:color w:val="000000" w:themeColor="text1"/>
        </w:rPr>
        <w:t xml:space="preserve"> B.V, UPL, CS Backhouse, Isle of Ely Produce, Potato Storage Insight and SA Consulting.</w:t>
      </w:r>
    </w:p>
    <w:p w14:paraId="367F6BFB" w14:textId="77777777" w:rsidR="003968FF" w:rsidRPr="00C27627" w:rsidRDefault="003968FF" w:rsidP="003968FF">
      <w:pPr>
        <w:rPr>
          <w:rFonts w:ascii="Aptos" w:eastAsia="Aptos" w:hAnsi="Aptos" w:cs="Aptos"/>
          <w:color w:val="000000" w:themeColor="text1"/>
        </w:rPr>
      </w:pPr>
      <w:r w:rsidRPr="15263B2A">
        <w:rPr>
          <w:rFonts w:ascii="Aptos" w:eastAsia="Aptos" w:hAnsi="Aptos" w:cs="Aptos"/>
          <w:b/>
          <w:bCs/>
          <w:color w:val="000000" w:themeColor="text1"/>
        </w:rPr>
        <w:t>About GB Potatoes</w:t>
      </w:r>
      <w:r w:rsidRPr="15263B2A">
        <w:rPr>
          <w:rFonts w:ascii="Aptos" w:eastAsia="Aptos" w:hAnsi="Aptos" w:cs="Aptos"/>
          <w:color w:val="000000" w:themeColor="text1"/>
        </w:rPr>
        <w:t xml:space="preserve"> - GB Potatoes was established in May 2022 to fill the void after the AHDB potato levy board ceased to exist, leaving the potato industry without a unified sector focused representation. It aims to provide a cohesive and impactful voice for the sector, encouraging participation from the whole potato supply chain including growers, packers, processors, seed growers, researchers, advisors, and ancillary businesses. Membership is open to anyone in the sector.</w:t>
      </w:r>
    </w:p>
    <w:p w14:paraId="03273961" w14:textId="77777777" w:rsidR="007436CA" w:rsidRPr="001134DA" w:rsidRDefault="007436CA">
      <w:pPr>
        <w:rPr>
          <w:sz w:val="24"/>
          <w:szCs w:val="24"/>
        </w:rPr>
      </w:pPr>
    </w:p>
    <w:sectPr w:rsidR="007436CA" w:rsidRPr="001134DA">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C7D60" w14:textId="77777777" w:rsidR="006432B4" w:rsidRDefault="006432B4" w:rsidP="00F20AC1">
      <w:pPr>
        <w:spacing w:after="0" w:line="240" w:lineRule="auto"/>
      </w:pPr>
      <w:r>
        <w:separator/>
      </w:r>
    </w:p>
  </w:endnote>
  <w:endnote w:type="continuationSeparator" w:id="0">
    <w:p w14:paraId="16FE867F" w14:textId="77777777" w:rsidR="006432B4" w:rsidRDefault="006432B4" w:rsidP="00F20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1662BD1" w14:paraId="48AB9641" w14:textId="77777777" w:rsidTr="61662BD1">
      <w:trPr>
        <w:trHeight w:val="300"/>
      </w:trPr>
      <w:tc>
        <w:tcPr>
          <w:tcW w:w="3005" w:type="dxa"/>
        </w:tcPr>
        <w:p w14:paraId="203C2B81" w14:textId="7728BDA3" w:rsidR="61662BD1" w:rsidRDefault="61662BD1" w:rsidP="61662BD1">
          <w:pPr>
            <w:pStyle w:val="Header"/>
            <w:ind w:left="-115"/>
          </w:pPr>
        </w:p>
      </w:tc>
      <w:tc>
        <w:tcPr>
          <w:tcW w:w="3005" w:type="dxa"/>
        </w:tcPr>
        <w:p w14:paraId="4F2675CD" w14:textId="7FCAB5A6" w:rsidR="61662BD1" w:rsidRDefault="61662BD1" w:rsidP="61662BD1">
          <w:pPr>
            <w:pStyle w:val="Header"/>
            <w:jc w:val="center"/>
          </w:pPr>
        </w:p>
      </w:tc>
      <w:tc>
        <w:tcPr>
          <w:tcW w:w="3005" w:type="dxa"/>
        </w:tcPr>
        <w:p w14:paraId="5E743983" w14:textId="64213EBE" w:rsidR="61662BD1" w:rsidRDefault="61662BD1" w:rsidP="61662BD1">
          <w:pPr>
            <w:pStyle w:val="Header"/>
            <w:ind w:right="-115"/>
            <w:jc w:val="right"/>
          </w:pPr>
        </w:p>
      </w:tc>
    </w:tr>
  </w:tbl>
  <w:p w14:paraId="78E5EAA1" w14:textId="2D32E6F4" w:rsidR="61662BD1" w:rsidRDefault="61662BD1" w:rsidP="61662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784BA" w14:textId="77777777" w:rsidR="006432B4" w:rsidRDefault="006432B4" w:rsidP="00F20AC1">
      <w:pPr>
        <w:spacing w:after="0" w:line="240" w:lineRule="auto"/>
      </w:pPr>
      <w:r>
        <w:separator/>
      </w:r>
    </w:p>
  </w:footnote>
  <w:footnote w:type="continuationSeparator" w:id="0">
    <w:p w14:paraId="64FD6E1D" w14:textId="77777777" w:rsidR="006432B4" w:rsidRDefault="006432B4" w:rsidP="00F20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C47D8" w14:textId="45FB451A" w:rsidR="00F20AC1" w:rsidRDefault="00F20AC1">
    <w:pPr>
      <w:pStyle w:val="Header"/>
    </w:pPr>
    <w:r>
      <w:ptab w:relativeTo="margin" w:alignment="center" w:leader="none"/>
    </w:r>
    <w:r>
      <w:ptab w:relativeTo="margin" w:alignment="right" w:leader="none"/>
    </w:r>
    <w:r>
      <w:rPr>
        <w:noProof/>
      </w:rPr>
      <w:drawing>
        <wp:inline distT="0" distB="0" distL="0" distR="0" wp14:anchorId="07F7FC4E" wp14:editId="1BAE4AEA">
          <wp:extent cx="963187" cy="676275"/>
          <wp:effectExtent l="0" t="0" r="8890" b="0"/>
          <wp:docPr id="10640567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109871" name="Picture 1756109871"/>
                  <pic:cNvPicPr/>
                </pic:nvPicPr>
                <pic:blipFill>
                  <a:blip r:embed="rId1">
                    <a:extLst>
                      <a:ext uri="{28A0092B-C50C-407E-A947-70E740481C1C}">
                        <a14:useLocalDpi xmlns:a14="http://schemas.microsoft.com/office/drawing/2010/main"/>
                      </a:ext>
                    </a:extLst>
                  </a:blip>
                  <a:stretch>
                    <a:fillRect/>
                  </a:stretch>
                </pic:blipFill>
                <pic:spPr>
                  <a:xfrm>
                    <a:off x="0" y="0"/>
                    <a:ext cx="971603" cy="682184"/>
                  </a:xfrm>
                  <a:prstGeom prst="rect">
                    <a:avLst/>
                  </a:prstGeom>
                </pic:spPr>
              </pic:pic>
            </a:graphicData>
          </a:graphic>
        </wp:inline>
      </w:drawing>
    </w:r>
    <w:r w:rsidR="61662BD1">
      <w:t xml:space="preserve">                                                                                         </w:t>
    </w:r>
    <w:r>
      <w:rPr>
        <w:noProof/>
      </w:rPr>
      <w:drawing>
        <wp:inline distT="0" distB="0" distL="0" distR="0" wp14:anchorId="59C2FC71" wp14:editId="10EC789D">
          <wp:extent cx="1257426" cy="1074420"/>
          <wp:effectExtent l="0" t="0" r="0" b="0"/>
          <wp:docPr id="503485581" name="Picture 4" descr="A logo of a plant with green leaves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485581" name="Picture 4" descr="A logo of a plant with green leaves and a black background&#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266263" cy="108197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14"/>
    <w:rsid w:val="000C7F19"/>
    <w:rsid w:val="001134DA"/>
    <w:rsid w:val="00144D46"/>
    <w:rsid w:val="001549EF"/>
    <w:rsid w:val="00260CB7"/>
    <w:rsid w:val="002D3BE1"/>
    <w:rsid w:val="003968FF"/>
    <w:rsid w:val="003B2896"/>
    <w:rsid w:val="003F6F29"/>
    <w:rsid w:val="0041545F"/>
    <w:rsid w:val="00430E52"/>
    <w:rsid w:val="004950AE"/>
    <w:rsid w:val="004C21EF"/>
    <w:rsid w:val="00586540"/>
    <w:rsid w:val="00593DC9"/>
    <w:rsid w:val="005C5A61"/>
    <w:rsid w:val="006432B4"/>
    <w:rsid w:val="006A7BFF"/>
    <w:rsid w:val="006C45BE"/>
    <w:rsid w:val="006C6173"/>
    <w:rsid w:val="007436CA"/>
    <w:rsid w:val="007C45A8"/>
    <w:rsid w:val="00867EE1"/>
    <w:rsid w:val="008703FE"/>
    <w:rsid w:val="008B6EAF"/>
    <w:rsid w:val="008B73DA"/>
    <w:rsid w:val="00905E89"/>
    <w:rsid w:val="009C2273"/>
    <w:rsid w:val="00A01A12"/>
    <w:rsid w:val="00A37EDC"/>
    <w:rsid w:val="00AD0A39"/>
    <w:rsid w:val="00B6254F"/>
    <w:rsid w:val="00C3019B"/>
    <w:rsid w:val="00C74A49"/>
    <w:rsid w:val="00CC2761"/>
    <w:rsid w:val="00CC5763"/>
    <w:rsid w:val="00D76D3B"/>
    <w:rsid w:val="00DA174C"/>
    <w:rsid w:val="00DD7914"/>
    <w:rsid w:val="00E31E13"/>
    <w:rsid w:val="00EB545D"/>
    <w:rsid w:val="00EF5160"/>
    <w:rsid w:val="00F20AC1"/>
    <w:rsid w:val="00F33776"/>
    <w:rsid w:val="00F75810"/>
    <w:rsid w:val="104C7617"/>
    <w:rsid w:val="61662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AED14"/>
  <w15:chartTrackingRefBased/>
  <w15:docId w15:val="{DB455CBD-32A9-4139-91A9-B1810F8BC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79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9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9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9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9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9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9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9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9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9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9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9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9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9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914"/>
    <w:rPr>
      <w:rFonts w:eastAsiaTheme="majorEastAsia" w:cstheme="majorBidi"/>
      <w:color w:val="272727" w:themeColor="text1" w:themeTint="D8"/>
    </w:rPr>
  </w:style>
  <w:style w:type="paragraph" w:styleId="Title">
    <w:name w:val="Title"/>
    <w:basedOn w:val="Normal"/>
    <w:next w:val="Normal"/>
    <w:link w:val="TitleChar"/>
    <w:uiPriority w:val="10"/>
    <w:qFormat/>
    <w:rsid w:val="00DD7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914"/>
    <w:pPr>
      <w:spacing w:before="160"/>
      <w:jc w:val="center"/>
    </w:pPr>
    <w:rPr>
      <w:i/>
      <w:iCs/>
      <w:color w:val="404040" w:themeColor="text1" w:themeTint="BF"/>
    </w:rPr>
  </w:style>
  <w:style w:type="character" w:customStyle="1" w:styleId="QuoteChar">
    <w:name w:val="Quote Char"/>
    <w:basedOn w:val="DefaultParagraphFont"/>
    <w:link w:val="Quote"/>
    <w:uiPriority w:val="29"/>
    <w:rsid w:val="00DD7914"/>
    <w:rPr>
      <w:i/>
      <w:iCs/>
      <w:color w:val="404040" w:themeColor="text1" w:themeTint="BF"/>
    </w:rPr>
  </w:style>
  <w:style w:type="paragraph" w:styleId="ListParagraph">
    <w:name w:val="List Paragraph"/>
    <w:basedOn w:val="Normal"/>
    <w:uiPriority w:val="34"/>
    <w:qFormat/>
    <w:rsid w:val="00DD7914"/>
    <w:pPr>
      <w:ind w:left="720"/>
      <w:contextualSpacing/>
    </w:pPr>
  </w:style>
  <w:style w:type="character" w:styleId="IntenseEmphasis">
    <w:name w:val="Intense Emphasis"/>
    <w:basedOn w:val="DefaultParagraphFont"/>
    <w:uiPriority w:val="21"/>
    <w:qFormat/>
    <w:rsid w:val="00DD7914"/>
    <w:rPr>
      <w:i/>
      <w:iCs/>
      <w:color w:val="0F4761" w:themeColor="accent1" w:themeShade="BF"/>
    </w:rPr>
  </w:style>
  <w:style w:type="paragraph" w:styleId="IntenseQuote">
    <w:name w:val="Intense Quote"/>
    <w:basedOn w:val="Normal"/>
    <w:next w:val="Normal"/>
    <w:link w:val="IntenseQuoteChar"/>
    <w:uiPriority w:val="30"/>
    <w:qFormat/>
    <w:rsid w:val="00DD79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914"/>
    <w:rPr>
      <w:i/>
      <w:iCs/>
      <w:color w:val="0F4761" w:themeColor="accent1" w:themeShade="BF"/>
    </w:rPr>
  </w:style>
  <w:style w:type="character" w:styleId="IntenseReference">
    <w:name w:val="Intense Reference"/>
    <w:basedOn w:val="DefaultParagraphFont"/>
    <w:uiPriority w:val="32"/>
    <w:qFormat/>
    <w:rsid w:val="00DD7914"/>
    <w:rPr>
      <w:b/>
      <w:bCs/>
      <w:smallCaps/>
      <w:color w:val="0F4761" w:themeColor="accent1" w:themeShade="BF"/>
      <w:spacing w:val="5"/>
    </w:rPr>
  </w:style>
  <w:style w:type="character" w:styleId="Hyperlink">
    <w:name w:val="Hyperlink"/>
    <w:basedOn w:val="DefaultParagraphFont"/>
    <w:uiPriority w:val="99"/>
    <w:unhideWhenUsed/>
    <w:rsid w:val="00DD7914"/>
    <w:rPr>
      <w:color w:val="467886" w:themeColor="hyperlink"/>
      <w:u w:val="single"/>
    </w:rPr>
  </w:style>
  <w:style w:type="character" w:styleId="UnresolvedMention">
    <w:name w:val="Unresolved Mention"/>
    <w:basedOn w:val="DefaultParagraphFont"/>
    <w:uiPriority w:val="99"/>
    <w:semiHidden/>
    <w:unhideWhenUsed/>
    <w:rsid w:val="00DD7914"/>
    <w:rPr>
      <w:color w:val="605E5C"/>
      <w:shd w:val="clear" w:color="auto" w:fill="E1DFDD"/>
    </w:rPr>
  </w:style>
  <w:style w:type="paragraph" w:styleId="Header">
    <w:name w:val="header"/>
    <w:basedOn w:val="Normal"/>
    <w:link w:val="HeaderChar"/>
    <w:uiPriority w:val="99"/>
    <w:unhideWhenUsed/>
    <w:rsid w:val="00F20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0AC1"/>
  </w:style>
  <w:style w:type="paragraph" w:styleId="Footer">
    <w:name w:val="footer"/>
    <w:basedOn w:val="Normal"/>
    <w:link w:val="FooterChar"/>
    <w:uiPriority w:val="99"/>
    <w:unhideWhenUsed/>
    <w:rsid w:val="00F20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0AC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gb-potatoes.co.uk/growers-urged-to-submit-store-sampl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hoto xmlns="ba6c1b53-23dd-4e60-899e-25a5748f1f6a">
      <Url xsi:nil="true"/>
      <Description xsi:nil="true"/>
    </Photo>
    <TaxCatchAll xmlns="7b3ef04f-748c-46e3-a85e-fbab415801f5" xsi:nil="true"/>
    <Picture xmlns="ba6c1b53-23dd-4e60-899e-25a5748f1f6a">
      <Url xsi:nil="true"/>
      <Description xsi:nil="true"/>
    </Picture>
    <Image xmlns="ba6c1b53-23dd-4e60-899e-25a5748f1f6a">
      <Url xsi:nil="true"/>
      <Description xsi:nil="true"/>
    </Image>
    <_Flow_SignoffStatus xmlns="ba6c1b53-23dd-4e60-899e-25a5748f1f6a" xsi:nil="true"/>
    <lcf76f155ced4ddcb4097134ff3c332f xmlns="ba6c1b53-23dd-4e60-899e-25a5748f1f6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3E66FDEA6588C439533D1985D217C61" ma:contentTypeVersion="23" ma:contentTypeDescription="Create a new document." ma:contentTypeScope="" ma:versionID="0324c652387cb79025873b3bed312a0a">
  <xsd:schema xmlns:xsd="http://www.w3.org/2001/XMLSchema" xmlns:xs="http://www.w3.org/2001/XMLSchema" xmlns:p="http://schemas.microsoft.com/office/2006/metadata/properties" xmlns:ns2="ba6c1b53-23dd-4e60-899e-25a5748f1f6a" xmlns:ns3="7b3ef04f-748c-46e3-a85e-fbab415801f5" targetNamespace="http://schemas.microsoft.com/office/2006/metadata/properties" ma:root="true" ma:fieldsID="9bcd20aaec1aa37bd5658b9c4711e5de" ns2:_="" ns3:_="">
    <xsd:import namespace="ba6c1b53-23dd-4e60-899e-25a5748f1f6a"/>
    <xsd:import namespace="7b3ef04f-748c-46e3-a85e-fbab41580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hoto" minOccurs="0"/>
                <xsd:element ref="ns2:Picture" minOccurs="0"/>
                <xsd:element ref="ns2:Image"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c1b53-23dd-4e60-899e-25a5748f1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hoto" ma:index="20"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Picture" ma:index="21"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Image" ma:index="22"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e73b6de-a4f7-4616-ae85-70b198381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ef04f-748c-46e3-a85e-fbab41580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57936a3-0942-42df-aa9e-7db7f9214114}" ma:internalName="TaxCatchAll" ma:showField="CatchAllData" ma:web="7b3ef04f-748c-46e3-a85e-fbab41580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16E89-416D-43D5-8316-FB10FC975C69}">
  <ds:schemaRefs>
    <ds:schemaRef ds:uri="http://schemas.microsoft.com/office/2006/metadata/properties"/>
    <ds:schemaRef ds:uri="http://schemas.microsoft.com/office/infopath/2007/PartnerControls"/>
    <ds:schemaRef ds:uri="ba6c1b53-23dd-4e60-899e-25a5748f1f6a"/>
    <ds:schemaRef ds:uri="7b3ef04f-748c-46e3-a85e-fbab415801f5"/>
  </ds:schemaRefs>
</ds:datastoreItem>
</file>

<file path=customXml/itemProps2.xml><?xml version="1.0" encoding="utf-8"?>
<ds:datastoreItem xmlns:ds="http://schemas.openxmlformats.org/officeDocument/2006/customXml" ds:itemID="{1C9CDCC4-4934-4A4E-835B-FA18FEB12DBF}">
  <ds:schemaRefs>
    <ds:schemaRef ds:uri="http://schemas.microsoft.com/sharepoint/v3/contenttype/forms"/>
  </ds:schemaRefs>
</ds:datastoreItem>
</file>

<file path=customXml/itemProps3.xml><?xml version="1.0" encoding="utf-8"?>
<ds:datastoreItem xmlns:ds="http://schemas.openxmlformats.org/officeDocument/2006/customXml" ds:itemID="{1B24469A-4DBD-4415-8B23-340744B6E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c1b53-23dd-4e60-899e-25a5748f1f6a"/>
    <ds:schemaRef ds:uri="7b3ef04f-748c-46e3-a85e-fbab41580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607</Words>
  <Characters>3278</Characters>
  <Application>Microsoft Office Word</Application>
  <DocSecurity>0</DocSecurity>
  <Lines>55</Lines>
  <Paragraphs>30</Paragraphs>
  <ScaleCrop>false</ScaleCrop>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Insch</dc:creator>
  <cp:keywords/>
  <dc:description/>
  <cp:lastModifiedBy>Katie Insch</cp:lastModifiedBy>
  <cp:revision>31</cp:revision>
  <dcterms:created xsi:type="dcterms:W3CDTF">2026-07-13T14:27:00Z</dcterms:created>
  <dcterms:modified xsi:type="dcterms:W3CDTF">2026-07-31T14:45:00Z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0x010100C3E66FDEA6588C439533D1985D217C61</vt:lpwstr>
  </property>
  <property fmtid="{D5CDD505-2E9C-101B-9397-08002B2CF9AE}" pid="3" name="MediaServiceImageTags">
    <vt:lpwstr/>
  </property>
</Properties>
</file>