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01AB8B" w14:textId="29D0CFD3" w:rsidR="00836E1E" w:rsidRPr="00836E1E" w:rsidRDefault="00836E1E" w:rsidP="00836E1E">
      <w:pPr>
        <w:spacing w:after="0"/>
        <w:rPr>
          <w:b/>
          <w:bCs/>
        </w:rPr>
      </w:pPr>
      <w:r w:rsidRPr="00836E1E">
        <w:rPr>
          <w:b/>
          <w:bCs/>
        </w:rPr>
        <w:t>Press Release</w:t>
      </w:r>
    </w:p>
    <w:p w14:paraId="7FF453F0" w14:textId="478CA2E6" w:rsidR="00836E1E" w:rsidRDefault="00104F36" w:rsidP="00836E1E">
      <w:pPr>
        <w:spacing w:after="0"/>
      </w:pPr>
      <w:r>
        <w:t>25 June 2026</w:t>
      </w:r>
    </w:p>
    <w:p w14:paraId="5435B591" w14:textId="2B8352AB" w:rsidR="00836E1E" w:rsidRDefault="00836E1E" w:rsidP="00836E1E">
      <w:pPr>
        <w:spacing w:after="0"/>
      </w:pPr>
      <w:r>
        <w:t>For Immediate Use</w:t>
      </w:r>
    </w:p>
    <w:p w14:paraId="791D6DAB" w14:textId="77777777" w:rsidR="00836E1E" w:rsidRPr="00836E1E" w:rsidRDefault="00836E1E" w:rsidP="00836E1E">
      <w:pPr>
        <w:spacing w:after="0"/>
      </w:pPr>
    </w:p>
    <w:p w14:paraId="1B74F887" w14:textId="26E5AD4A" w:rsidR="00836E1E" w:rsidRPr="00836E1E" w:rsidRDefault="00836E1E" w:rsidP="00836E1E">
      <w:pPr>
        <w:rPr>
          <w:b/>
          <w:bCs/>
          <w:sz w:val="24"/>
          <w:szCs w:val="24"/>
        </w:rPr>
      </w:pPr>
      <w:r w:rsidRPr="00836E1E">
        <w:rPr>
          <w:b/>
          <w:bCs/>
          <w:sz w:val="24"/>
          <w:szCs w:val="24"/>
        </w:rPr>
        <w:t>Knight Frank Identifies Folc as England's Leading Négociant Wine Brand</w:t>
      </w:r>
    </w:p>
    <w:p w14:paraId="507FECC8" w14:textId="4A07C97E" w:rsidR="00836E1E" w:rsidRPr="00836E1E" w:rsidRDefault="00836E1E" w:rsidP="13020C60">
      <w:pPr>
        <w:spacing w:before="240" w:after="200"/>
        <w:rPr>
          <w:rFonts w:eastAsia="Georgia" w:cs="Georgia"/>
        </w:rPr>
      </w:pPr>
      <w:r w:rsidRPr="00836E1E">
        <w:rPr>
          <w:rFonts w:eastAsia="Georgia" w:cs="Georgia"/>
        </w:rPr>
        <w:t>Knight Frank, the global real estate and rural advisory firm, has highlighted</w:t>
      </w:r>
      <w:r w:rsidR="0089455E">
        <w:rPr>
          <w:rFonts w:eastAsia="Georgia" w:cs="Georgia"/>
        </w:rPr>
        <w:t xml:space="preserve"> that</w:t>
      </w:r>
      <w:r w:rsidRPr="00836E1E">
        <w:rPr>
          <w:rFonts w:eastAsia="Georgia" w:cs="Georgia"/>
        </w:rPr>
        <w:t xml:space="preserve"> </w:t>
      </w:r>
      <w:r w:rsidR="1ECB2230" w:rsidRPr="60860407">
        <w:rPr>
          <w:rFonts w:eastAsia="Georgia" w:cs="Georgia"/>
        </w:rPr>
        <w:t>the</w:t>
      </w:r>
      <w:r w:rsidR="1ECB2230" w:rsidRPr="3809778C">
        <w:rPr>
          <w:rFonts w:eastAsia="Georgia" w:cs="Georgia"/>
        </w:rPr>
        <w:t xml:space="preserve"> négociant model in English wine </w:t>
      </w:r>
      <w:r w:rsidR="3D8B43AF" w:rsidRPr="5DA3D5C9">
        <w:rPr>
          <w:rFonts w:eastAsia="Georgia" w:cs="Georgia"/>
        </w:rPr>
        <w:t xml:space="preserve">making, </w:t>
      </w:r>
      <w:r w:rsidR="1ECB2230" w:rsidRPr="5DA3D5C9">
        <w:rPr>
          <w:rFonts w:eastAsia="Georgia" w:cs="Georgia"/>
        </w:rPr>
        <w:t>practiced</w:t>
      </w:r>
      <w:r w:rsidR="1ECB2230" w:rsidRPr="339B2035">
        <w:rPr>
          <w:rFonts w:eastAsia="Georgia" w:cs="Georgia"/>
        </w:rPr>
        <w:t xml:space="preserve"> by </w:t>
      </w:r>
      <w:r w:rsidR="1ECB2230" w:rsidRPr="326CF9E8">
        <w:rPr>
          <w:rFonts w:eastAsia="Georgia" w:cs="Georgia"/>
        </w:rPr>
        <w:t>businesses like</w:t>
      </w:r>
      <w:r w:rsidR="1ECB2230" w:rsidRPr="7224B09B">
        <w:rPr>
          <w:rFonts w:eastAsia="Georgia" w:cs="Georgia"/>
        </w:rPr>
        <w:t xml:space="preserve"> </w:t>
      </w:r>
      <w:r w:rsidRPr="00836E1E">
        <w:rPr>
          <w:rFonts w:eastAsia="Georgia" w:cs="Georgia"/>
        </w:rPr>
        <w:t>Folc</w:t>
      </w:r>
      <w:r w:rsidR="20222F4A" w:rsidRPr="11542F19">
        <w:rPr>
          <w:rFonts w:eastAsia="Georgia" w:cs="Georgia"/>
        </w:rPr>
        <w:t>,</w:t>
      </w:r>
      <w:r w:rsidRPr="00836E1E">
        <w:rPr>
          <w:rFonts w:eastAsia="Georgia" w:cs="Georgia"/>
        </w:rPr>
        <w:t xml:space="preserve"> </w:t>
      </w:r>
      <w:r w:rsidR="20222F4A" w:rsidRPr="40BCA3ED">
        <w:rPr>
          <w:rFonts w:eastAsia="Georgia" w:cs="Georgia"/>
        </w:rPr>
        <w:t>is</w:t>
      </w:r>
      <w:r w:rsidRPr="40BCA3ED">
        <w:rPr>
          <w:rFonts w:eastAsia="Georgia" w:cs="Georgia"/>
        </w:rPr>
        <w:t xml:space="preserve"> </w:t>
      </w:r>
      <w:r w:rsidR="100A515E" w:rsidRPr="0F791493">
        <w:rPr>
          <w:rFonts w:eastAsia="Georgia" w:cs="Georgia"/>
        </w:rPr>
        <w:t>an approach gaining traction in</w:t>
      </w:r>
      <w:r w:rsidRPr="00836E1E">
        <w:rPr>
          <w:rFonts w:eastAsia="Georgia" w:cs="Georgia"/>
        </w:rPr>
        <w:t xml:space="preserve"> the </w:t>
      </w:r>
      <w:r w:rsidR="100A515E" w:rsidRPr="0F791493">
        <w:rPr>
          <w:rFonts w:eastAsia="Georgia" w:cs="Georgia"/>
        </w:rPr>
        <w:t>UK market</w:t>
      </w:r>
      <w:r w:rsidR="56552E95" w:rsidRPr="6D4BEFF2">
        <w:rPr>
          <w:rFonts w:eastAsia="Georgia" w:cs="Georgia"/>
        </w:rPr>
        <w:t>, according to Ed Mansel Lewis, Head of Viticulture at Knight Frank</w:t>
      </w:r>
      <w:r w:rsidR="100A515E" w:rsidRPr="6D4BEFF2">
        <w:rPr>
          <w:rFonts w:eastAsia="Georgia" w:cs="Georgia"/>
        </w:rPr>
        <w:t>.</w:t>
      </w:r>
      <w:r w:rsidR="100A515E" w:rsidRPr="0F791493">
        <w:rPr>
          <w:rFonts w:eastAsia="Georgia" w:cs="Georgia"/>
        </w:rPr>
        <w:t xml:space="preserve"> </w:t>
      </w:r>
    </w:p>
    <w:p w14:paraId="000D370C" w14:textId="18929153" w:rsidR="00836E1E" w:rsidRPr="00836E1E" w:rsidRDefault="100A515E" w:rsidP="00836E1E">
      <w:pPr>
        <w:spacing w:before="240" w:after="200"/>
        <w:rPr>
          <w:rFonts w:eastAsia="Georgia" w:cs="Georgia"/>
        </w:rPr>
      </w:pPr>
      <w:r w:rsidRPr="33D37CD3">
        <w:rPr>
          <w:rFonts w:eastAsia="Georgia" w:cs="Georgia"/>
        </w:rPr>
        <w:t>T</w:t>
      </w:r>
      <w:r w:rsidR="00836E1E" w:rsidRPr="33D37CD3">
        <w:rPr>
          <w:rFonts w:eastAsia="Georgia" w:cs="Georgia"/>
        </w:rPr>
        <w:t>he</w:t>
      </w:r>
      <w:r w:rsidR="66328080" w:rsidRPr="33D37CD3">
        <w:rPr>
          <w:rFonts w:eastAsia="Georgia" w:cs="Georgia"/>
        </w:rPr>
        <w:t xml:space="preserve"> négociant</w:t>
      </w:r>
      <w:r w:rsidR="00836E1E" w:rsidRPr="0F791493">
        <w:rPr>
          <w:rFonts w:eastAsia="Georgia" w:cs="Georgia"/>
        </w:rPr>
        <w:t xml:space="preserve"> </w:t>
      </w:r>
      <w:r w:rsidR="004EDA49" w:rsidRPr="53D3D01B">
        <w:rPr>
          <w:rFonts w:eastAsia="Georgia" w:cs="Georgia"/>
        </w:rPr>
        <w:t>approach</w:t>
      </w:r>
      <w:r w:rsidR="24939EB9" w:rsidRPr="0F791493">
        <w:rPr>
          <w:rFonts w:eastAsia="Georgia" w:cs="Georgia"/>
        </w:rPr>
        <w:t xml:space="preserve"> allows </w:t>
      </w:r>
      <w:r w:rsidR="023444B6" w:rsidRPr="0F791493">
        <w:rPr>
          <w:rFonts w:eastAsia="Georgia" w:cs="Georgia"/>
        </w:rPr>
        <w:t>businesses</w:t>
      </w:r>
      <w:r w:rsidR="24939EB9" w:rsidRPr="0F791493">
        <w:rPr>
          <w:rFonts w:eastAsia="Georgia" w:cs="Georgia"/>
        </w:rPr>
        <w:t xml:space="preserve"> to </w:t>
      </w:r>
      <w:r w:rsidR="4953A844" w:rsidRPr="0F791493">
        <w:rPr>
          <w:rFonts w:eastAsia="Georgia" w:cs="Georgia"/>
        </w:rPr>
        <w:t>develop their wines without the capital outlay of owning land</w:t>
      </w:r>
      <w:r w:rsidR="100873B5" w:rsidRPr="072106FB">
        <w:rPr>
          <w:rFonts w:eastAsia="Georgia" w:cs="Georgia"/>
        </w:rPr>
        <w:t xml:space="preserve"> </w:t>
      </w:r>
      <w:r w:rsidR="100873B5" w:rsidRPr="53D92C65">
        <w:rPr>
          <w:rFonts w:eastAsia="Georgia" w:cs="Georgia"/>
        </w:rPr>
        <w:t xml:space="preserve">or </w:t>
      </w:r>
      <w:r w:rsidR="100873B5" w:rsidRPr="26ED7324">
        <w:rPr>
          <w:rFonts w:eastAsia="Georgia" w:cs="Georgia"/>
        </w:rPr>
        <w:t xml:space="preserve">creating </w:t>
      </w:r>
      <w:r w:rsidR="100873B5" w:rsidRPr="71E8686B">
        <w:rPr>
          <w:rFonts w:eastAsia="Georgia" w:cs="Georgia"/>
        </w:rPr>
        <w:t>a</w:t>
      </w:r>
      <w:r w:rsidR="100873B5" w:rsidRPr="4AC72E49">
        <w:rPr>
          <w:rFonts w:eastAsia="Georgia" w:cs="Georgia"/>
        </w:rPr>
        <w:t xml:space="preserve"> winery</w:t>
      </w:r>
      <w:r w:rsidR="21879C9F" w:rsidRPr="0F791493">
        <w:rPr>
          <w:rFonts w:eastAsia="Georgia" w:cs="Georgia"/>
        </w:rPr>
        <w:t>;</w:t>
      </w:r>
      <w:r w:rsidR="2C3E5DE9" w:rsidRPr="6431762A">
        <w:rPr>
          <w:rFonts w:eastAsia="Georgia" w:cs="Georgia"/>
        </w:rPr>
        <w:t xml:space="preserve"> </w:t>
      </w:r>
      <w:r w:rsidR="00836E1E" w:rsidRPr="00836E1E">
        <w:rPr>
          <w:rFonts w:eastAsia="Georgia" w:cs="Georgia"/>
        </w:rPr>
        <w:t xml:space="preserve">producers source grapes from third-party vineyards and work with a contracted winemaking partner to </w:t>
      </w:r>
      <w:r w:rsidR="497E1B8F" w:rsidRPr="5A9B3C0F">
        <w:rPr>
          <w:rFonts w:eastAsia="Georgia" w:cs="Georgia"/>
        </w:rPr>
        <w:t>develop</w:t>
      </w:r>
      <w:r w:rsidR="00836E1E" w:rsidRPr="5A9B3C0F">
        <w:rPr>
          <w:rFonts w:eastAsia="Georgia" w:cs="Georgia"/>
        </w:rPr>
        <w:t xml:space="preserve"> </w:t>
      </w:r>
      <w:r w:rsidR="41ADB966" w:rsidRPr="0F791493">
        <w:rPr>
          <w:rFonts w:eastAsia="Georgia" w:cs="Georgia"/>
        </w:rPr>
        <w:t>their</w:t>
      </w:r>
      <w:r w:rsidR="00836E1E" w:rsidRPr="0F791493">
        <w:rPr>
          <w:rFonts w:eastAsia="Georgia" w:cs="Georgia"/>
        </w:rPr>
        <w:t xml:space="preserve"> </w:t>
      </w:r>
      <w:r w:rsidR="41ADB966" w:rsidRPr="33FF0FFE">
        <w:rPr>
          <w:rFonts w:eastAsia="Georgia" w:cs="Georgia"/>
        </w:rPr>
        <w:t>products to an</w:t>
      </w:r>
      <w:r w:rsidR="00836E1E" w:rsidRPr="33FF0FFE">
        <w:rPr>
          <w:rFonts w:eastAsia="Georgia" w:cs="Georgia"/>
        </w:rPr>
        <w:t xml:space="preserve"> </w:t>
      </w:r>
      <w:r w:rsidR="00836E1E" w:rsidRPr="00836E1E">
        <w:rPr>
          <w:rFonts w:eastAsia="Georgia" w:cs="Georgia"/>
        </w:rPr>
        <w:t>agreed specification</w:t>
      </w:r>
      <w:r w:rsidR="2B1270E1" w:rsidRPr="041BEBB2">
        <w:rPr>
          <w:rFonts w:eastAsia="Georgia" w:cs="Georgia"/>
        </w:rPr>
        <w:t xml:space="preserve">. </w:t>
      </w:r>
    </w:p>
    <w:p w14:paraId="6864E053" w14:textId="0FA20512" w:rsidR="00836E1E" w:rsidRPr="00836E1E" w:rsidRDefault="2F6EB6B1" w:rsidP="1B8D82A0">
      <w:pPr>
        <w:spacing w:after="200"/>
        <w:rPr>
          <w:rFonts w:eastAsia="Georgia" w:cs="Georgia"/>
        </w:rPr>
      </w:pPr>
      <w:r w:rsidRPr="33D37CD3">
        <w:rPr>
          <w:rFonts w:eastAsia="Georgia" w:cs="Georgia"/>
        </w:rPr>
        <w:t>“</w:t>
      </w:r>
      <w:r w:rsidR="1AC4BED8" w:rsidRPr="33D37CD3">
        <w:rPr>
          <w:rFonts w:eastAsia="Georgia" w:cs="Georgia"/>
        </w:rPr>
        <w:t xml:space="preserve">We’re seeing sustained interest in alternative wine business models from our investor and agricultural client base. </w:t>
      </w:r>
      <w:r w:rsidR="190A4C25" w:rsidRPr="7523ADB2">
        <w:rPr>
          <w:rFonts w:eastAsia="Georgia" w:cs="Georgia"/>
        </w:rPr>
        <w:t xml:space="preserve">It’s </w:t>
      </w:r>
      <w:r w:rsidR="07934142" w:rsidRPr="20F0EE54">
        <w:rPr>
          <w:rFonts w:eastAsia="Georgia" w:cs="Georgia"/>
        </w:rPr>
        <w:t xml:space="preserve">an </w:t>
      </w:r>
      <w:r w:rsidR="190A4C25" w:rsidRPr="20F0EE54">
        <w:rPr>
          <w:rFonts w:eastAsia="Georgia" w:cs="Georgia"/>
        </w:rPr>
        <w:t>appealing</w:t>
      </w:r>
      <w:r w:rsidR="4AE6D6EA" w:rsidRPr="09BE2AD5">
        <w:rPr>
          <w:rFonts w:eastAsia="Georgia" w:cs="Georgia"/>
        </w:rPr>
        <w:t xml:space="preserve"> </w:t>
      </w:r>
      <w:r w:rsidR="4AE6D6EA" w:rsidRPr="7390AEB4">
        <w:rPr>
          <w:rFonts w:eastAsia="Georgia" w:cs="Georgia"/>
        </w:rPr>
        <w:t xml:space="preserve">approach, </w:t>
      </w:r>
      <w:r w:rsidR="4AE6D6EA" w:rsidRPr="68A05E0F">
        <w:rPr>
          <w:rFonts w:eastAsia="Georgia" w:cs="Georgia"/>
        </w:rPr>
        <w:t xml:space="preserve">because </w:t>
      </w:r>
      <w:r w:rsidR="4AE6D6EA" w:rsidRPr="1FE64112">
        <w:rPr>
          <w:rFonts w:eastAsia="Georgia" w:cs="Georgia"/>
        </w:rPr>
        <w:t>u</w:t>
      </w:r>
      <w:r w:rsidR="00836E1E" w:rsidRPr="1FE64112">
        <w:rPr>
          <w:rFonts w:eastAsia="Georgia" w:cs="Georgia"/>
        </w:rPr>
        <w:t>nlike</w:t>
      </w:r>
      <w:r w:rsidR="00836E1E" w:rsidRPr="00836E1E">
        <w:rPr>
          <w:rFonts w:eastAsia="Georgia" w:cs="Georgia"/>
        </w:rPr>
        <w:t xml:space="preserve"> conventional single-estate producers which must invest in vineyard establishment, winery construction and multi-year stock holdings before generating meaningful returns</w:t>
      </w:r>
      <w:r w:rsidR="3E5E5D86" w:rsidRPr="5E0EB5AA">
        <w:rPr>
          <w:rFonts w:eastAsia="Georgia" w:cs="Georgia"/>
        </w:rPr>
        <w:t>,</w:t>
      </w:r>
      <w:r w:rsidR="00836E1E" w:rsidRPr="00836E1E">
        <w:rPr>
          <w:rFonts w:eastAsia="Georgia" w:cs="Georgia"/>
        </w:rPr>
        <w:t xml:space="preserve"> négociant businesses operate with a compressed capital cycle</w:t>
      </w:r>
      <w:r w:rsidR="1E0B4C40" w:rsidRPr="2BB6571B">
        <w:rPr>
          <w:rFonts w:eastAsia="Georgia" w:cs="Georgia"/>
        </w:rPr>
        <w:t>,” he says</w:t>
      </w:r>
      <w:r w:rsidR="00836E1E" w:rsidRPr="2BB6571B">
        <w:rPr>
          <w:rFonts w:eastAsia="Georgia" w:cs="Georgia"/>
        </w:rPr>
        <w:t>.</w:t>
      </w:r>
      <w:r w:rsidR="00836E1E" w:rsidRPr="00836E1E">
        <w:rPr>
          <w:rFonts w:eastAsia="Georgia" w:cs="Georgia"/>
        </w:rPr>
        <w:t xml:space="preserve"> </w:t>
      </w:r>
    </w:p>
    <w:p w14:paraId="056EF0F6" w14:textId="2C631856" w:rsidR="00836E1E" w:rsidRPr="00836E1E" w:rsidRDefault="00836E1E" w:rsidP="00836E1E">
      <w:pPr>
        <w:spacing w:after="200"/>
        <w:rPr>
          <w:rFonts w:eastAsia="Georgia" w:cs="Georgia"/>
        </w:rPr>
      </w:pPr>
      <w:r w:rsidRPr="00836E1E">
        <w:rPr>
          <w:rFonts w:eastAsia="Georgia" w:cs="Georgia"/>
        </w:rPr>
        <w:t>Grapes are purchased at harvest in October, wine is produced and finished by January, and sold through the spring and summer, meaning direct costs are typically in the business for only six to nine months before converting to revenue</w:t>
      </w:r>
      <w:r w:rsidRPr="00F7B9EC">
        <w:rPr>
          <w:rFonts w:eastAsia="Georgia" w:cs="Georgia"/>
        </w:rPr>
        <w:t>.</w:t>
      </w:r>
    </w:p>
    <w:p w14:paraId="0C1ECDE2" w14:textId="1FF0E25B" w:rsidR="00836E1E" w:rsidRPr="00836E1E" w:rsidRDefault="00836E1E" w:rsidP="00836E1E">
      <w:pPr>
        <w:spacing w:after="200"/>
      </w:pPr>
      <w:r w:rsidRPr="00836E1E">
        <w:rPr>
          <w:rFonts w:eastAsia="Georgia" w:cs="Georgia"/>
        </w:rPr>
        <w:t xml:space="preserve">By contrast, single-estate producers such as </w:t>
      </w:r>
      <w:proofErr w:type="spellStart"/>
      <w:r w:rsidRPr="00836E1E">
        <w:rPr>
          <w:rFonts w:eastAsia="Georgia" w:cs="Georgia"/>
        </w:rPr>
        <w:t>Gusbourne</w:t>
      </w:r>
      <w:proofErr w:type="spellEnd"/>
      <w:r w:rsidRPr="00836E1E">
        <w:rPr>
          <w:rFonts w:eastAsia="Georgia" w:cs="Georgia"/>
        </w:rPr>
        <w:t xml:space="preserve"> </w:t>
      </w:r>
      <w:r>
        <w:rPr>
          <w:rFonts w:eastAsia="Georgia" w:cs="Georgia"/>
        </w:rPr>
        <w:t>-</w:t>
      </w:r>
      <w:r w:rsidRPr="00836E1E">
        <w:rPr>
          <w:rFonts w:eastAsia="Georgia" w:cs="Georgia"/>
        </w:rPr>
        <w:t xml:space="preserve"> which began planting its 148-acre vineyard in Appledore in 2004 and holds wines for between 30 and 80 months depending on style </w:t>
      </w:r>
      <w:r>
        <w:rPr>
          <w:rFonts w:eastAsia="Georgia" w:cs="Georgia"/>
        </w:rPr>
        <w:t>-</w:t>
      </w:r>
      <w:r w:rsidRPr="00836E1E">
        <w:rPr>
          <w:rFonts w:eastAsia="Georgia" w:cs="Georgia"/>
        </w:rPr>
        <w:t xml:space="preserve"> require patient, </w:t>
      </w:r>
      <w:r w:rsidR="00C33EF7">
        <w:rPr>
          <w:rFonts w:eastAsia="Georgia" w:cs="Georgia"/>
        </w:rPr>
        <w:t>prolonged</w:t>
      </w:r>
      <w:r w:rsidRPr="00836E1E">
        <w:rPr>
          <w:rFonts w:eastAsia="Georgia" w:cs="Georgia"/>
        </w:rPr>
        <w:t xml:space="preserve"> capital commitments running into tens of millions of pounds.</w:t>
      </w:r>
    </w:p>
    <w:p w14:paraId="14CD19A4" w14:textId="336FCD87" w:rsidR="00836E1E" w:rsidRPr="00836E1E" w:rsidRDefault="00836E1E" w:rsidP="00836E1E">
      <w:pPr>
        <w:spacing w:after="200"/>
      </w:pPr>
      <w:r w:rsidRPr="00836E1E">
        <w:rPr>
          <w:rFonts w:eastAsia="Georgia" w:cs="Georgia"/>
        </w:rPr>
        <w:t>Mansel Lewis notes</w:t>
      </w:r>
      <w:r w:rsidR="08DB437B" w:rsidRPr="4DBA4B9A">
        <w:rPr>
          <w:rFonts w:eastAsia="Georgia" w:cs="Georgia"/>
        </w:rPr>
        <w:t xml:space="preserve"> </w:t>
      </w:r>
      <w:r w:rsidR="08DB437B" w:rsidRPr="6E607A27">
        <w:rPr>
          <w:rFonts w:eastAsia="Georgia" w:cs="Georgia"/>
        </w:rPr>
        <w:t xml:space="preserve">that </w:t>
      </w:r>
      <w:r w:rsidR="09235556" w:rsidRPr="6E607A27">
        <w:rPr>
          <w:rFonts w:eastAsia="Georgia" w:cs="Georgia"/>
        </w:rPr>
        <w:t>this</w:t>
      </w:r>
      <w:r w:rsidR="09235556" w:rsidRPr="00343E3B">
        <w:rPr>
          <w:rFonts w:eastAsia="Georgia" w:cs="Georgia"/>
        </w:rPr>
        <w:t xml:space="preserve"> </w:t>
      </w:r>
      <w:r w:rsidRPr="00836E1E">
        <w:rPr>
          <w:rFonts w:eastAsia="Georgia" w:cs="Georgia"/>
        </w:rPr>
        <w:t>asset-light structure also provides a natural hedge against over-production risk. "When record harvests create surplus supply pressure for estate producers, négociants benefit from falling spot prices for grapes, allowing them to source their fruit more cheaply," he explains.</w:t>
      </w:r>
    </w:p>
    <w:p w14:paraId="69564319" w14:textId="6883766A" w:rsidR="00836E1E" w:rsidRPr="00836E1E" w:rsidRDefault="00836E1E" w:rsidP="00836E1E">
      <w:pPr>
        <w:spacing w:after="200"/>
        <w:rPr>
          <w:rFonts w:eastAsia="Georgia" w:cs="Georgia"/>
        </w:rPr>
      </w:pPr>
      <w:r w:rsidRPr="00836E1E">
        <w:rPr>
          <w:rFonts w:eastAsia="Georgia" w:cs="Georgia"/>
        </w:rPr>
        <w:t>Founded in 2019 by Tom and Elisha Cannon, Folc was established with the ambition of producing a dry, fresh English rosé to rival the wines of Provence. Tom brings a background in venture capital</w:t>
      </w:r>
      <w:r w:rsidR="7B85D8E6" w:rsidRPr="33D37CD3">
        <w:rPr>
          <w:rFonts w:eastAsia="Georgia" w:cs="Georgia"/>
        </w:rPr>
        <w:t>, while</w:t>
      </w:r>
      <w:r w:rsidRPr="00836E1E">
        <w:rPr>
          <w:rFonts w:eastAsia="Georgia" w:cs="Georgia"/>
        </w:rPr>
        <w:t xml:space="preserve"> Elisha's roots are in law. Their professional experience outside of wine has enabled the couple to approach the industry's structural challenges with a commercial clarity rarely seen in the category.</w:t>
      </w:r>
    </w:p>
    <w:p w14:paraId="2D590940" w14:textId="652919F9" w:rsidR="00836E1E" w:rsidRPr="00836E1E" w:rsidRDefault="00836E1E" w:rsidP="00836E1E">
      <w:pPr>
        <w:spacing w:after="200"/>
      </w:pPr>
      <w:r w:rsidRPr="00836E1E">
        <w:rPr>
          <w:rFonts w:eastAsia="Georgia" w:cs="Georgia"/>
        </w:rPr>
        <w:t xml:space="preserve">Grapes are sourced from two principal vineyards </w:t>
      </w:r>
      <w:r>
        <w:rPr>
          <w:rFonts w:eastAsia="Georgia" w:cs="Georgia"/>
        </w:rPr>
        <w:t>-</w:t>
      </w:r>
      <w:r w:rsidRPr="00836E1E">
        <w:rPr>
          <w:rFonts w:eastAsia="Georgia" w:cs="Georgia"/>
        </w:rPr>
        <w:t xml:space="preserve"> one in Hampshire, one in Kent </w:t>
      </w:r>
      <w:r>
        <w:rPr>
          <w:rFonts w:eastAsia="Georgia" w:cs="Georgia"/>
        </w:rPr>
        <w:t>-</w:t>
      </w:r>
      <w:r w:rsidRPr="00836E1E">
        <w:rPr>
          <w:rFonts w:eastAsia="Georgia" w:cs="Georgia"/>
        </w:rPr>
        <w:t xml:space="preserve"> hedging single-site weather risk and preserving blending control for style consistency. Winemaking is entrusted to Defined Wine in Canterbury, led by Nick Lane, formerly of Cloudy Bay and Dom Pérignon.</w:t>
      </w:r>
    </w:p>
    <w:p w14:paraId="7939354A" w14:textId="04ABF74B" w:rsidR="00836E1E" w:rsidRDefault="6D20061B" w:rsidP="00836E1E">
      <w:pPr>
        <w:spacing w:after="200"/>
        <w:rPr>
          <w:rFonts w:eastAsia="Georgia" w:cs="Georgia"/>
        </w:rPr>
      </w:pPr>
      <w:r w:rsidRPr="33D37CD3">
        <w:rPr>
          <w:rFonts w:eastAsia="Georgia" w:cs="Georgia"/>
        </w:rPr>
        <w:t>Mansel Lewis adds: “</w:t>
      </w:r>
      <w:r w:rsidR="00836E1E" w:rsidRPr="00836E1E">
        <w:rPr>
          <w:rFonts w:eastAsia="Georgia" w:cs="Georgia"/>
        </w:rPr>
        <w:t>Folc employs a multi-vintage</w:t>
      </w:r>
      <w:r w:rsidR="00836E1E">
        <w:rPr>
          <w:rFonts w:eastAsia="Georgia" w:cs="Georgia"/>
        </w:rPr>
        <w:t xml:space="preserve"> or </w:t>
      </w:r>
      <w:r w:rsidR="00836E1E" w:rsidRPr="00836E1E">
        <w:rPr>
          <w:rFonts w:eastAsia="Georgia" w:cs="Georgia"/>
        </w:rPr>
        <w:t>non-vintage</w:t>
      </w:r>
      <w:r w:rsidR="00836E1E">
        <w:rPr>
          <w:rFonts w:eastAsia="Georgia" w:cs="Georgia"/>
        </w:rPr>
        <w:t xml:space="preserve"> </w:t>
      </w:r>
      <w:r w:rsidR="00836E1E" w:rsidRPr="00836E1E">
        <w:rPr>
          <w:rFonts w:eastAsia="Georgia" w:cs="Georgia"/>
        </w:rPr>
        <w:t>strategy</w:t>
      </w:r>
      <w:r w:rsidR="00836E1E">
        <w:rPr>
          <w:rFonts w:eastAsia="Georgia" w:cs="Georgia"/>
        </w:rPr>
        <w:t xml:space="preserve">, </w:t>
      </w:r>
      <w:r w:rsidR="00836E1E" w:rsidRPr="00836E1E">
        <w:rPr>
          <w:rFonts w:eastAsia="Georgia" w:cs="Georgia"/>
        </w:rPr>
        <w:t>relatively uncommon in England</w:t>
      </w:r>
      <w:r w:rsidR="00836E1E">
        <w:rPr>
          <w:rFonts w:eastAsia="Georgia" w:cs="Georgia"/>
        </w:rPr>
        <w:t>,</w:t>
      </w:r>
      <w:r w:rsidR="00836E1E" w:rsidRPr="00836E1E">
        <w:rPr>
          <w:rFonts w:eastAsia="Georgia" w:cs="Georgia"/>
        </w:rPr>
        <w:t xml:space="preserve"> which protects flavour continuity and guards against the vintage variability that can undermine consumer confidence and customer lifetime value</w:t>
      </w:r>
      <w:r w:rsidR="00836E1E" w:rsidRPr="33D37CD3">
        <w:rPr>
          <w:rFonts w:eastAsia="Georgia" w:cs="Georgia"/>
        </w:rPr>
        <w:t>.</w:t>
      </w:r>
      <w:r w:rsidR="0E8EFD8F" w:rsidRPr="33D37CD3">
        <w:rPr>
          <w:rFonts w:eastAsia="Georgia" w:cs="Georgia"/>
        </w:rPr>
        <w:t>”</w:t>
      </w:r>
    </w:p>
    <w:p w14:paraId="5EA02FBE" w14:textId="5E571745" w:rsidR="00836E1E" w:rsidRPr="00836E1E" w:rsidRDefault="00836E1E" w:rsidP="00836E1E">
      <w:pPr>
        <w:spacing w:after="200"/>
      </w:pPr>
      <w:r w:rsidRPr="00836E1E">
        <w:rPr>
          <w:rFonts w:eastAsia="Georgia" w:cs="Georgia"/>
        </w:rPr>
        <w:lastRenderedPageBreak/>
        <w:t xml:space="preserve">Folc's investor prospectus sets out the unit economics underpinning the business's growth model. In practical terms, </w:t>
      </w:r>
      <w:r w:rsidR="72A66E9A" w:rsidRPr="33D37CD3">
        <w:rPr>
          <w:rFonts w:eastAsia="Georgia" w:cs="Georgia"/>
        </w:rPr>
        <w:t>at current ratios,</w:t>
      </w:r>
      <w:r w:rsidRPr="33D37CD3">
        <w:rPr>
          <w:rFonts w:eastAsia="Georgia" w:cs="Georgia"/>
        </w:rPr>
        <w:t xml:space="preserve"> </w:t>
      </w:r>
      <w:r w:rsidRPr="00836E1E">
        <w:rPr>
          <w:rFonts w:eastAsia="Georgia" w:cs="Georgia"/>
        </w:rPr>
        <w:t>every £1 invested in marketing generates £2.40 in gross profit.</w:t>
      </w:r>
    </w:p>
    <w:p w14:paraId="42547D17" w14:textId="5137E2F3" w:rsidR="00836E1E" w:rsidRPr="00836E1E" w:rsidRDefault="00836E1E" w:rsidP="00836E1E">
      <w:pPr>
        <w:spacing w:after="200"/>
      </w:pPr>
      <w:r w:rsidRPr="00836E1E">
        <w:rPr>
          <w:rFonts w:eastAsia="Georgia" w:cs="Georgia"/>
        </w:rPr>
        <w:t xml:space="preserve">The business has assembled an experienced leadership team to support its growth ambitions. Frazer Thompson, former CEO of Chapel Down, serves on the board, alongside Guy Tresnan, former sales and marketing director of Chapel Down, and Georgie Padgett as </w:t>
      </w:r>
      <w:r w:rsidR="008A372A">
        <w:rPr>
          <w:rFonts w:eastAsia="Georgia" w:cs="Georgia"/>
        </w:rPr>
        <w:t>h</w:t>
      </w:r>
      <w:r w:rsidRPr="00836E1E">
        <w:rPr>
          <w:rFonts w:eastAsia="Georgia" w:cs="Georgia"/>
        </w:rPr>
        <w:t xml:space="preserve">ead of </w:t>
      </w:r>
      <w:r w:rsidR="008A372A">
        <w:rPr>
          <w:rFonts w:eastAsia="Georgia" w:cs="Georgia"/>
        </w:rPr>
        <w:t>d</w:t>
      </w:r>
      <w:r w:rsidRPr="00836E1E">
        <w:rPr>
          <w:rFonts w:eastAsia="Georgia" w:cs="Georgia"/>
        </w:rPr>
        <w:t>istribution. Together they have secured listings across more than 100 pubs and with David Lloyd Health Clubs across 102 sites nationwide.</w:t>
      </w:r>
    </w:p>
    <w:p w14:paraId="41B1AEB3" w14:textId="62E3FC93" w:rsidR="00836E1E" w:rsidRPr="00836E1E" w:rsidRDefault="65F53176" w:rsidP="00836E1E">
      <w:pPr>
        <w:spacing w:after="200"/>
      </w:pPr>
      <w:r w:rsidRPr="33D37CD3">
        <w:rPr>
          <w:rFonts w:eastAsia="Georgia" w:cs="Georgia"/>
        </w:rPr>
        <w:t>“</w:t>
      </w:r>
      <w:r w:rsidR="00836E1E" w:rsidRPr="00836E1E">
        <w:rPr>
          <w:rFonts w:eastAsia="Georgia" w:cs="Georgia"/>
        </w:rPr>
        <w:t xml:space="preserve">Folc has demonstrated a consistent ability to generate </w:t>
      </w:r>
      <w:r w:rsidR="00801C0B">
        <w:rPr>
          <w:rFonts w:eastAsia="Georgia" w:cs="Georgia"/>
        </w:rPr>
        <w:t>immense</w:t>
      </w:r>
      <w:r w:rsidR="00836E1E" w:rsidRPr="00836E1E">
        <w:rPr>
          <w:rFonts w:eastAsia="Georgia" w:cs="Georgia"/>
        </w:rPr>
        <w:t xml:space="preserve"> brand awareness from well-timed, creative marketing</w:t>
      </w:r>
      <w:r w:rsidR="16FEA652" w:rsidRPr="33D37CD3">
        <w:rPr>
          <w:rFonts w:eastAsia="Georgia" w:cs="Georgia"/>
        </w:rPr>
        <w:t>,” Mansel Lewis notes</w:t>
      </w:r>
      <w:r w:rsidR="00836E1E" w:rsidRPr="33D37CD3">
        <w:rPr>
          <w:rFonts w:eastAsia="Georgia" w:cs="Georgia"/>
        </w:rPr>
        <w:t xml:space="preserve">. </w:t>
      </w:r>
    </w:p>
    <w:p w14:paraId="1373EA81" w14:textId="1659674C" w:rsidR="00836E1E" w:rsidRPr="00836E1E" w:rsidRDefault="00836E1E" w:rsidP="00836E1E">
      <w:pPr>
        <w:spacing w:after="200"/>
      </w:pPr>
      <w:r w:rsidRPr="00836E1E">
        <w:rPr>
          <w:rFonts w:eastAsia="Georgia" w:cs="Georgia"/>
        </w:rPr>
        <w:t xml:space="preserve">In autumn 2025, following a cease-and-desist letter from Champagne Bollinger's UK distributor </w:t>
      </w:r>
      <w:proofErr w:type="spellStart"/>
      <w:r w:rsidRPr="00836E1E">
        <w:rPr>
          <w:rFonts w:eastAsia="Georgia" w:cs="Georgia"/>
        </w:rPr>
        <w:t>Mentzendorff</w:t>
      </w:r>
      <w:proofErr w:type="spellEnd"/>
      <w:r w:rsidRPr="00836E1E">
        <w:rPr>
          <w:rFonts w:eastAsia="Georgia" w:cs="Georgia"/>
        </w:rPr>
        <w:t xml:space="preserve"> &amp; Co over a social media campaign, Folc converted the legal challenge into its entire marketing strategy </w:t>
      </w:r>
      <w:r>
        <w:rPr>
          <w:rFonts w:eastAsia="Georgia" w:cs="Georgia"/>
        </w:rPr>
        <w:t>-</w:t>
      </w:r>
      <w:r w:rsidRPr="00836E1E">
        <w:rPr>
          <w:rFonts w:eastAsia="Georgia" w:cs="Georgia"/>
        </w:rPr>
        <w:t xml:space="preserve"> launching a discount code labelled "GOLIATH20". The story was covered by The Times and multiple trade publications, and the company reported a 4,700% increase in sales.</w:t>
      </w:r>
    </w:p>
    <w:p w14:paraId="4BC63AB5" w14:textId="312A22B6" w:rsidR="00836E1E" w:rsidRPr="00836E1E" w:rsidRDefault="00836E1E" w:rsidP="00836E1E">
      <w:pPr>
        <w:spacing w:after="200"/>
      </w:pPr>
      <w:r w:rsidRPr="00836E1E">
        <w:rPr>
          <w:rFonts w:eastAsia="Georgia" w:cs="Georgia"/>
        </w:rPr>
        <w:t xml:space="preserve">Folc is currently in an active crowdfunding campaign, having reached 100% of its initial funding target within 24 hours of launch from 79 investors, and is now into overfunding. </w:t>
      </w:r>
      <w:r>
        <w:rPr>
          <w:rFonts w:eastAsia="Georgia" w:cs="Georgia"/>
        </w:rPr>
        <w:t>Mansel Lewis believes the raise merits serious attention from investors:</w:t>
      </w:r>
      <w:r w:rsidR="00042E3A">
        <w:rPr>
          <w:rFonts w:eastAsia="Georgia" w:cs="Georgia"/>
        </w:rPr>
        <w:t xml:space="preserve"> </w:t>
      </w:r>
      <w:r w:rsidRPr="00836E1E">
        <w:rPr>
          <w:rFonts w:eastAsia="Georgia" w:cs="Georgia"/>
          <w:color w:val="333333"/>
        </w:rPr>
        <w:t xml:space="preserve">“Folc’s capital-light platform demonstrates exactly what an early-stage English wine brand should look like at this point in the category’s development </w:t>
      </w:r>
      <w:r>
        <w:rPr>
          <w:rFonts w:eastAsia="Georgia" w:cs="Georgia"/>
          <w:color w:val="333333"/>
        </w:rPr>
        <w:t>-</w:t>
      </w:r>
      <w:r w:rsidRPr="00836E1E">
        <w:rPr>
          <w:rFonts w:eastAsia="Georgia" w:cs="Georgia"/>
          <w:color w:val="333333"/>
        </w:rPr>
        <w:t xml:space="preserve"> disciplined pricing, strong direct-to-consumer economics and a management team that understands both brand-building and commercial execution. Their négociant model is </w:t>
      </w:r>
      <w:r w:rsidR="0004776D" w:rsidRPr="00836E1E">
        <w:rPr>
          <w:rFonts w:eastAsia="Georgia" w:cs="Georgia"/>
          <w:color w:val="333333"/>
        </w:rPr>
        <w:t>unhindered</w:t>
      </w:r>
      <w:r w:rsidRPr="00836E1E">
        <w:rPr>
          <w:rFonts w:eastAsia="Georgia" w:cs="Georgia"/>
          <w:color w:val="333333"/>
        </w:rPr>
        <w:t xml:space="preserve"> by the fixed-cost pressures that have challenged </w:t>
      </w:r>
      <w:proofErr w:type="gramStart"/>
      <w:r w:rsidRPr="00836E1E">
        <w:rPr>
          <w:rFonts w:eastAsia="Georgia" w:cs="Georgia"/>
          <w:color w:val="333333"/>
        </w:rPr>
        <w:t>a number of</w:t>
      </w:r>
      <w:proofErr w:type="gramEnd"/>
      <w:r w:rsidRPr="00836E1E">
        <w:rPr>
          <w:rFonts w:eastAsia="Georgia" w:cs="Georgia"/>
          <w:color w:val="333333"/>
        </w:rPr>
        <w:t xml:space="preserve"> estate producers in recent years.”</w:t>
      </w:r>
    </w:p>
    <w:p w14:paraId="4B006961" w14:textId="18A1E8C1" w:rsidR="008B73DA" w:rsidRDefault="00042E3A">
      <w:r w:rsidRPr="00042E3A">
        <w:t xml:space="preserve">To find out more about investment opportunities in </w:t>
      </w:r>
      <w:r w:rsidRPr="00546D77">
        <w:t>English wine</w:t>
      </w:r>
      <w:r w:rsidRPr="00042E3A">
        <w:t xml:space="preserve">, or to speak directly with Ed Mansel Lewis and the Knight Frank </w:t>
      </w:r>
      <w:r>
        <w:t>V</w:t>
      </w:r>
      <w:r w:rsidRPr="00042E3A">
        <w:t xml:space="preserve">iticulture team, please </w:t>
      </w:r>
      <w:r>
        <w:t xml:space="preserve">get in touch at </w:t>
      </w:r>
      <w:hyperlink r:id="rId10" w:history="1">
        <w:r w:rsidRPr="00CA5F30">
          <w:rPr>
            <w:rStyle w:val="Hyperlink"/>
          </w:rPr>
          <w:t>https://www.knightfrank.co.uk/commercial/sectors/viticulture</w:t>
        </w:r>
      </w:hyperlink>
      <w:r>
        <w:t xml:space="preserve"> </w:t>
      </w:r>
    </w:p>
    <w:p w14:paraId="57D864CE" w14:textId="09D28DE2" w:rsidR="00042E3A" w:rsidRDefault="00042E3A">
      <w:pPr>
        <w:rPr>
          <w:b/>
          <w:bCs/>
        </w:rPr>
      </w:pPr>
      <w:r w:rsidRPr="00042E3A">
        <w:rPr>
          <w:b/>
          <w:bCs/>
        </w:rPr>
        <w:t>/ENDS</w:t>
      </w:r>
    </w:p>
    <w:p w14:paraId="79F47949" w14:textId="77777777" w:rsidR="005F50E5" w:rsidRPr="00645047" w:rsidRDefault="005F50E5" w:rsidP="005F50E5">
      <w:pPr>
        <w:rPr>
          <w:b/>
          <w:bCs/>
        </w:rPr>
      </w:pPr>
      <w:r w:rsidRPr="252CE04F">
        <w:rPr>
          <w:b/>
          <w:bCs/>
        </w:rPr>
        <w:t>Notes to Editors</w:t>
      </w:r>
    </w:p>
    <w:p w14:paraId="32DDDF21" w14:textId="77777777" w:rsidR="005F50E5" w:rsidRPr="00300EA2" w:rsidRDefault="005F50E5" w:rsidP="005F50E5">
      <w:pPr>
        <w:pStyle w:val="NormalWeb"/>
        <w:spacing w:after="120"/>
        <w:rPr>
          <w:rFonts w:ascii="Arial" w:hAnsi="Arial" w:cs="Arial"/>
          <w:sz w:val="20"/>
          <w:szCs w:val="20"/>
        </w:rPr>
      </w:pPr>
      <w:r w:rsidRPr="3F5919F5">
        <w:rPr>
          <w:rFonts w:ascii="Arial" w:hAnsi="Arial" w:cs="Arial"/>
          <w:sz w:val="20"/>
          <w:szCs w:val="20"/>
        </w:rPr>
        <w:t>Knight Frank LLP is the leading independent global property consultancy, serving as our clients’ partners in property for more than 125 years. Headquartered in London, Knight Frank has 27,000+ people operating from 740+ offices across 50 territories. The Group advises clients ranging from individual owners and buyers to major developers, investors and corporate tenants. For further information about the Firm, please visit knightfrank.com</w:t>
      </w:r>
    </w:p>
    <w:p w14:paraId="74ABB2BA" w14:textId="77777777" w:rsidR="005F50E5" w:rsidRPr="00042E3A" w:rsidRDefault="005F50E5">
      <w:pPr>
        <w:rPr>
          <w:b/>
          <w:bCs/>
        </w:rPr>
      </w:pPr>
    </w:p>
    <w:sectPr w:rsidR="005F50E5" w:rsidRPr="00042E3A">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849D80" w14:textId="77777777" w:rsidR="00975CF9" w:rsidRDefault="00975CF9" w:rsidP="00836E1E">
      <w:pPr>
        <w:spacing w:after="0" w:line="240" w:lineRule="auto"/>
      </w:pPr>
      <w:r>
        <w:separator/>
      </w:r>
    </w:p>
  </w:endnote>
  <w:endnote w:type="continuationSeparator" w:id="0">
    <w:p w14:paraId="0CF42EBB" w14:textId="77777777" w:rsidR="00975CF9" w:rsidRDefault="00975CF9" w:rsidP="00836E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D40723" w14:textId="77777777" w:rsidR="00975CF9" w:rsidRDefault="00975CF9" w:rsidP="00836E1E">
      <w:pPr>
        <w:spacing w:after="0" w:line="240" w:lineRule="auto"/>
      </w:pPr>
      <w:r>
        <w:separator/>
      </w:r>
    </w:p>
  </w:footnote>
  <w:footnote w:type="continuationSeparator" w:id="0">
    <w:p w14:paraId="341EE8BE" w14:textId="77777777" w:rsidR="00975CF9" w:rsidRDefault="00975CF9" w:rsidP="00836E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92979" w14:textId="4C96D8A3" w:rsidR="00836E1E" w:rsidRDefault="00836E1E">
    <w:pPr>
      <w:pStyle w:val="Header"/>
    </w:pPr>
    <w:r>
      <w:ptab w:relativeTo="margin" w:alignment="center" w:leader="none"/>
    </w:r>
    <w:r>
      <w:ptab w:relativeTo="margin" w:alignment="right" w:leader="none"/>
    </w:r>
    <w:r>
      <w:rPr>
        <w:noProof/>
      </w:rPr>
      <w:drawing>
        <wp:inline distT="0" distB="0" distL="0" distR="0" wp14:anchorId="6E224C0C" wp14:editId="34CC52E9">
          <wp:extent cx="1762125" cy="657225"/>
          <wp:effectExtent l="0" t="0" r="0" b="0"/>
          <wp:docPr id="1424347954" name="Picture 1424347954"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347954" name="Picture 1424347954"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762125" cy="6572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E1E"/>
    <w:rsid w:val="00005A47"/>
    <w:rsid w:val="00025936"/>
    <w:rsid w:val="00027434"/>
    <w:rsid w:val="00042E3A"/>
    <w:rsid w:val="0004776D"/>
    <w:rsid w:val="00047B4E"/>
    <w:rsid w:val="00066CD6"/>
    <w:rsid w:val="00070990"/>
    <w:rsid w:val="000764EA"/>
    <w:rsid w:val="00085D4E"/>
    <w:rsid w:val="00087C33"/>
    <w:rsid w:val="000956E9"/>
    <w:rsid w:val="000A685E"/>
    <w:rsid w:val="000A6AB2"/>
    <w:rsid w:val="00104F36"/>
    <w:rsid w:val="0013381C"/>
    <w:rsid w:val="00156D00"/>
    <w:rsid w:val="001651AF"/>
    <w:rsid w:val="001654CD"/>
    <w:rsid w:val="001A7ACC"/>
    <w:rsid w:val="001C00FE"/>
    <w:rsid w:val="001D3EC8"/>
    <w:rsid w:val="0020091A"/>
    <w:rsid w:val="00207BBD"/>
    <w:rsid w:val="00223BA0"/>
    <w:rsid w:val="002249B8"/>
    <w:rsid w:val="00224B49"/>
    <w:rsid w:val="00242B7E"/>
    <w:rsid w:val="00256456"/>
    <w:rsid w:val="00296A23"/>
    <w:rsid w:val="002B5E60"/>
    <w:rsid w:val="002C53FF"/>
    <w:rsid w:val="002D3BE1"/>
    <w:rsid w:val="002F00EE"/>
    <w:rsid w:val="00303974"/>
    <w:rsid w:val="0031127C"/>
    <w:rsid w:val="0031155D"/>
    <w:rsid w:val="003215A9"/>
    <w:rsid w:val="003268DF"/>
    <w:rsid w:val="00343E3B"/>
    <w:rsid w:val="003542C1"/>
    <w:rsid w:val="00366981"/>
    <w:rsid w:val="003762A7"/>
    <w:rsid w:val="0037710F"/>
    <w:rsid w:val="0037799C"/>
    <w:rsid w:val="00396835"/>
    <w:rsid w:val="003A0FC7"/>
    <w:rsid w:val="003E29EC"/>
    <w:rsid w:val="003E3B03"/>
    <w:rsid w:val="004036AE"/>
    <w:rsid w:val="00417933"/>
    <w:rsid w:val="004242B2"/>
    <w:rsid w:val="0047088B"/>
    <w:rsid w:val="004A0165"/>
    <w:rsid w:val="004A54B9"/>
    <w:rsid w:val="004C1CAD"/>
    <w:rsid w:val="004C62B8"/>
    <w:rsid w:val="004D49A8"/>
    <w:rsid w:val="004E21C9"/>
    <w:rsid w:val="004EDA49"/>
    <w:rsid w:val="00517EA1"/>
    <w:rsid w:val="00546D77"/>
    <w:rsid w:val="005877D5"/>
    <w:rsid w:val="005C1CB9"/>
    <w:rsid w:val="005C5531"/>
    <w:rsid w:val="005F0FAC"/>
    <w:rsid w:val="005F50E5"/>
    <w:rsid w:val="0061172C"/>
    <w:rsid w:val="00625584"/>
    <w:rsid w:val="0063002F"/>
    <w:rsid w:val="0066155A"/>
    <w:rsid w:val="00683952"/>
    <w:rsid w:val="006903A9"/>
    <w:rsid w:val="006A79E3"/>
    <w:rsid w:val="006B3F21"/>
    <w:rsid w:val="006C6D92"/>
    <w:rsid w:val="006E4045"/>
    <w:rsid w:val="006E54AA"/>
    <w:rsid w:val="006E614F"/>
    <w:rsid w:val="00704930"/>
    <w:rsid w:val="007158A3"/>
    <w:rsid w:val="00723953"/>
    <w:rsid w:val="0074106E"/>
    <w:rsid w:val="00760A9C"/>
    <w:rsid w:val="007625A7"/>
    <w:rsid w:val="0079093F"/>
    <w:rsid w:val="007A6AEA"/>
    <w:rsid w:val="007B4BC5"/>
    <w:rsid w:val="007D1DEB"/>
    <w:rsid w:val="007D5763"/>
    <w:rsid w:val="007F7DE5"/>
    <w:rsid w:val="00801C0B"/>
    <w:rsid w:val="0082036B"/>
    <w:rsid w:val="00825CAC"/>
    <w:rsid w:val="00832311"/>
    <w:rsid w:val="00836E1E"/>
    <w:rsid w:val="008442F5"/>
    <w:rsid w:val="00873B56"/>
    <w:rsid w:val="00876FAD"/>
    <w:rsid w:val="00886A14"/>
    <w:rsid w:val="00891B17"/>
    <w:rsid w:val="0089455E"/>
    <w:rsid w:val="008A372A"/>
    <w:rsid w:val="008B73DA"/>
    <w:rsid w:val="008E117A"/>
    <w:rsid w:val="00910362"/>
    <w:rsid w:val="00946573"/>
    <w:rsid w:val="00973032"/>
    <w:rsid w:val="00974300"/>
    <w:rsid w:val="00975CF9"/>
    <w:rsid w:val="009C04A4"/>
    <w:rsid w:val="009C7708"/>
    <w:rsid w:val="009D6FFE"/>
    <w:rsid w:val="009E285F"/>
    <w:rsid w:val="00A065BC"/>
    <w:rsid w:val="00A252B5"/>
    <w:rsid w:val="00A31877"/>
    <w:rsid w:val="00A5050A"/>
    <w:rsid w:val="00A657F5"/>
    <w:rsid w:val="00AE315C"/>
    <w:rsid w:val="00B12827"/>
    <w:rsid w:val="00B33275"/>
    <w:rsid w:val="00B53FB8"/>
    <w:rsid w:val="00B6254F"/>
    <w:rsid w:val="00BB7D08"/>
    <w:rsid w:val="00BE7908"/>
    <w:rsid w:val="00BF15C4"/>
    <w:rsid w:val="00C1355D"/>
    <w:rsid w:val="00C33EF7"/>
    <w:rsid w:val="00C37F56"/>
    <w:rsid w:val="00C50D70"/>
    <w:rsid w:val="00C52048"/>
    <w:rsid w:val="00C553A3"/>
    <w:rsid w:val="00C73915"/>
    <w:rsid w:val="00C83BA0"/>
    <w:rsid w:val="00C83E79"/>
    <w:rsid w:val="00C90BD1"/>
    <w:rsid w:val="00CA0262"/>
    <w:rsid w:val="00CB2721"/>
    <w:rsid w:val="00CF4321"/>
    <w:rsid w:val="00D13D03"/>
    <w:rsid w:val="00D15019"/>
    <w:rsid w:val="00D368E0"/>
    <w:rsid w:val="00D42832"/>
    <w:rsid w:val="00D61C4C"/>
    <w:rsid w:val="00D72873"/>
    <w:rsid w:val="00D76D3B"/>
    <w:rsid w:val="00DB19DB"/>
    <w:rsid w:val="00DC71EE"/>
    <w:rsid w:val="00DD18F2"/>
    <w:rsid w:val="00DD222D"/>
    <w:rsid w:val="00E1546E"/>
    <w:rsid w:val="00E55CBE"/>
    <w:rsid w:val="00E5640B"/>
    <w:rsid w:val="00E84008"/>
    <w:rsid w:val="00E93580"/>
    <w:rsid w:val="00EA2BB1"/>
    <w:rsid w:val="00EA7A84"/>
    <w:rsid w:val="00EB0189"/>
    <w:rsid w:val="00EC3751"/>
    <w:rsid w:val="00EC3E95"/>
    <w:rsid w:val="00EC4B12"/>
    <w:rsid w:val="00EC4F32"/>
    <w:rsid w:val="00ED78D0"/>
    <w:rsid w:val="00F047D1"/>
    <w:rsid w:val="00F14180"/>
    <w:rsid w:val="00F1539D"/>
    <w:rsid w:val="00F5252A"/>
    <w:rsid w:val="00F74807"/>
    <w:rsid w:val="00F7B9EC"/>
    <w:rsid w:val="00F80945"/>
    <w:rsid w:val="00F96D9C"/>
    <w:rsid w:val="00FA46EA"/>
    <w:rsid w:val="00FA4A78"/>
    <w:rsid w:val="00FB18A1"/>
    <w:rsid w:val="00FD1D53"/>
    <w:rsid w:val="00FD24D4"/>
    <w:rsid w:val="00FF374A"/>
    <w:rsid w:val="017350AF"/>
    <w:rsid w:val="01917BFF"/>
    <w:rsid w:val="023444B6"/>
    <w:rsid w:val="041BEBB2"/>
    <w:rsid w:val="06F685B8"/>
    <w:rsid w:val="072106FB"/>
    <w:rsid w:val="07934142"/>
    <w:rsid w:val="08DB437B"/>
    <w:rsid w:val="09235556"/>
    <w:rsid w:val="09BE2AD5"/>
    <w:rsid w:val="0C3B0BF9"/>
    <w:rsid w:val="0D01AD30"/>
    <w:rsid w:val="0E8EFD8F"/>
    <w:rsid w:val="0F791493"/>
    <w:rsid w:val="100873B5"/>
    <w:rsid w:val="100A515E"/>
    <w:rsid w:val="110CBFAF"/>
    <w:rsid w:val="11542F19"/>
    <w:rsid w:val="13020C60"/>
    <w:rsid w:val="16FEA652"/>
    <w:rsid w:val="17BF01D8"/>
    <w:rsid w:val="190A4C25"/>
    <w:rsid w:val="1AC4BED8"/>
    <w:rsid w:val="1B39EFE3"/>
    <w:rsid w:val="1B8D82A0"/>
    <w:rsid w:val="1C232804"/>
    <w:rsid w:val="1CB63B40"/>
    <w:rsid w:val="1D4C4923"/>
    <w:rsid w:val="1E0B4C40"/>
    <w:rsid w:val="1ECB2230"/>
    <w:rsid w:val="1FE64112"/>
    <w:rsid w:val="20222F4A"/>
    <w:rsid w:val="20F0EE54"/>
    <w:rsid w:val="20F1AEC0"/>
    <w:rsid w:val="20F6DB84"/>
    <w:rsid w:val="21879C9F"/>
    <w:rsid w:val="242DD55F"/>
    <w:rsid w:val="24939EB9"/>
    <w:rsid w:val="26ED7324"/>
    <w:rsid w:val="2B1270E1"/>
    <w:rsid w:val="2BB6571B"/>
    <w:rsid w:val="2C3E5DE9"/>
    <w:rsid w:val="2D340282"/>
    <w:rsid w:val="2DCAB8AE"/>
    <w:rsid w:val="2DFD63A2"/>
    <w:rsid w:val="2F05EACC"/>
    <w:rsid w:val="2F6EB6B1"/>
    <w:rsid w:val="2F89A254"/>
    <w:rsid w:val="31B115E7"/>
    <w:rsid w:val="326CF9E8"/>
    <w:rsid w:val="33195DA6"/>
    <w:rsid w:val="339B2035"/>
    <w:rsid w:val="33D37CD3"/>
    <w:rsid w:val="33FF0FFE"/>
    <w:rsid w:val="35C30FB4"/>
    <w:rsid w:val="35F7D9D3"/>
    <w:rsid w:val="3809778C"/>
    <w:rsid w:val="3A2DFB4E"/>
    <w:rsid w:val="3AA58ADD"/>
    <w:rsid w:val="3AB5F5CF"/>
    <w:rsid w:val="3D8B43AF"/>
    <w:rsid w:val="3E5E5D86"/>
    <w:rsid w:val="40BCA3ED"/>
    <w:rsid w:val="40CC2779"/>
    <w:rsid w:val="41ADB966"/>
    <w:rsid w:val="49520922"/>
    <w:rsid w:val="4953A844"/>
    <w:rsid w:val="497E1B8F"/>
    <w:rsid w:val="4A013059"/>
    <w:rsid w:val="4AC72E49"/>
    <w:rsid w:val="4AE6D6EA"/>
    <w:rsid w:val="4AE94DE0"/>
    <w:rsid w:val="4DBA4B9A"/>
    <w:rsid w:val="515E350A"/>
    <w:rsid w:val="53D3D01B"/>
    <w:rsid w:val="53D92C65"/>
    <w:rsid w:val="53E2966F"/>
    <w:rsid w:val="543C6953"/>
    <w:rsid w:val="55253AE0"/>
    <w:rsid w:val="56552E95"/>
    <w:rsid w:val="58750BCA"/>
    <w:rsid w:val="597977B4"/>
    <w:rsid w:val="59DC7C65"/>
    <w:rsid w:val="5A9B3C0F"/>
    <w:rsid w:val="5DA3D5C9"/>
    <w:rsid w:val="5E0EB5AA"/>
    <w:rsid w:val="5FE2358A"/>
    <w:rsid w:val="604CA108"/>
    <w:rsid w:val="60860407"/>
    <w:rsid w:val="6431762A"/>
    <w:rsid w:val="643C9770"/>
    <w:rsid w:val="6480A252"/>
    <w:rsid w:val="649290CA"/>
    <w:rsid w:val="64B6E812"/>
    <w:rsid w:val="654BE808"/>
    <w:rsid w:val="65F53176"/>
    <w:rsid w:val="66328080"/>
    <w:rsid w:val="68A05E0F"/>
    <w:rsid w:val="68FC45C4"/>
    <w:rsid w:val="6C85D995"/>
    <w:rsid w:val="6D20061B"/>
    <w:rsid w:val="6D4BEFF2"/>
    <w:rsid w:val="6E607A27"/>
    <w:rsid w:val="71E8686B"/>
    <w:rsid w:val="7224B09B"/>
    <w:rsid w:val="72A66E9A"/>
    <w:rsid w:val="7390AEB4"/>
    <w:rsid w:val="7523ADB2"/>
    <w:rsid w:val="75B2E586"/>
    <w:rsid w:val="773BC348"/>
    <w:rsid w:val="7B85D8E6"/>
    <w:rsid w:val="7E9D60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2A39A"/>
  <w15:chartTrackingRefBased/>
  <w15:docId w15:val="{178729A3-6A22-48A6-A957-FEB9CE98B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6E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6E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6E1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6E1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6E1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6E1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6E1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6E1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6E1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6E1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6E1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6E1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6E1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6E1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6E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6E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6E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6E1E"/>
    <w:rPr>
      <w:rFonts w:eastAsiaTheme="majorEastAsia" w:cstheme="majorBidi"/>
      <w:color w:val="272727" w:themeColor="text1" w:themeTint="D8"/>
    </w:rPr>
  </w:style>
  <w:style w:type="paragraph" w:styleId="Title">
    <w:name w:val="Title"/>
    <w:basedOn w:val="Normal"/>
    <w:next w:val="Normal"/>
    <w:link w:val="TitleChar"/>
    <w:uiPriority w:val="10"/>
    <w:qFormat/>
    <w:rsid w:val="00836E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6E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6E1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6E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6E1E"/>
    <w:pPr>
      <w:spacing w:before="160"/>
      <w:jc w:val="center"/>
    </w:pPr>
    <w:rPr>
      <w:i/>
      <w:iCs/>
      <w:color w:val="404040" w:themeColor="text1" w:themeTint="BF"/>
    </w:rPr>
  </w:style>
  <w:style w:type="character" w:customStyle="1" w:styleId="QuoteChar">
    <w:name w:val="Quote Char"/>
    <w:basedOn w:val="DefaultParagraphFont"/>
    <w:link w:val="Quote"/>
    <w:uiPriority w:val="29"/>
    <w:rsid w:val="00836E1E"/>
    <w:rPr>
      <w:i/>
      <w:iCs/>
      <w:color w:val="404040" w:themeColor="text1" w:themeTint="BF"/>
    </w:rPr>
  </w:style>
  <w:style w:type="paragraph" w:styleId="ListParagraph">
    <w:name w:val="List Paragraph"/>
    <w:basedOn w:val="Normal"/>
    <w:uiPriority w:val="34"/>
    <w:qFormat/>
    <w:rsid w:val="00836E1E"/>
    <w:pPr>
      <w:ind w:left="720"/>
      <w:contextualSpacing/>
    </w:pPr>
  </w:style>
  <w:style w:type="character" w:styleId="IntenseEmphasis">
    <w:name w:val="Intense Emphasis"/>
    <w:basedOn w:val="DefaultParagraphFont"/>
    <w:uiPriority w:val="21"/>
    <w:qFormat/>
    <w:rsid w:val="00836E1E"/>
    <w:rPr>
      <w:i/>
      <w:iCs/>
      <w:color w:val="0F4761" w:themeColor="accent1" w:themeShade="BF"/>
    </w:rPr>
  </w:style>
  <w:style w:type="paragraph" w:styleId="IntenseQuote">
    <w:name w:val="Intense Quote"/>
    <w:basedOn w:val="Normal"/>
    <w:next w:val="Normal"/>
    <w:link w:val="IntenseQuoteChar"/>
    <w:uiPriority w:val="30"/>
    <w:qFormat/>
    <w:rsid w:val="00836E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6E1E"/>
    <w:rPr>
      <w:i/>
      <w:iCs/>
      <w:color w:val="0F4761" w:themeColor="accent1" w:themeShade="BF"/>
    </w:rPr>
  </w:style>
  <w:style w:type="character" w:styleId="IntenseReference">
    <w:name w:val="Intense Reference"/>
    <w:basedOn w:val="DefaultParagraphFont"/>
    <w:uiPriority w:val="32"/>
    <w:qFormat/>
    <w:rsid w:val="00836E1E"/>
    <w:rPr>
      <w:b/>
      <w:bCs/>
      <w:smallCaps/>
      <w:color w:val="0F4761" w:themeColor="accent1" w:themeShade="BF"/>
      <w:spacing w:val="5"/>
    </w:rPr>
  </w:style>
  <w:style w:type="paragraph" w:styleId="Header">
    <w:name w:val="header"/>
    <w:basedOn w:val="Normal"/>
    <w:link w:val="HeaderChar"/>
    <w:uiPriority w:val="99"/>
    <w:unhideWhenUsed/>
    <w:rsid w:val="00836E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6E1E"/>
  </w:style>
  <w:style w:type="paragraph" w:styleId="Footer">
    <w:name w:val="footer"/>
    <w:basedOn w:val="Normal"/>
    <w:link w:val="FooterChar"/>
    <w:uiPriority w:val="99"/>
    <w:unhideWhenUsed/>
    <w:rsid w:val="00836E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6E1E"/>
  </w:style>
  <w:style w:type="character" w:styleId="Hyperlink">
    <w:name w:val="Hyperlink"/>
    <w:basedOn w:val="DefaultParagraphFont"/>
    <w:uiPriority w:val="99"/>
    <w:unhideWhenUsed/>
    <w:rsid w:val="00042E3A"/>
    <w:rPr>
      <w:color w:val="467886" w:themeColor="hyperlink"/>
      <w:u w:val="single"/>
    </w:rPr>
  </w:style>
  <w:style w:type="character" w:styleId="UnresolvedMention">
    <w:name w:val="Unresolved Mention"/>
    <w:basedOn w:val="DefaultParagraphFont"/>
    <w:uiPriority w:val="99"/>
    <w:semiHidden/>
    <w:unhideWhenUsed/>
    <w:rsid w:val="00042E3A"/>
    <w:rPr>
      <w:color w:val="605E5C"/>
      <w:shd w:val="clear" w:color="auto" w:fill="E1DFDD"/>
    </w:rPr>
  </w:style>
  <w:style w:type="paragraph" w:styleId="NormalWeb">
    <w:name w:val="Normal (Web)"/>
    <w:basedOn w:val="Normal"/>
    <w:uiPriority w:val="99"/>
    <w:semiHidden/>
    <w:rsid w:val="005F50E5"/>
    <w:pPr>
      <w:spacing w:after="200" w:line="220" w:lineRule="atLeast"/>
    </w:pPr>
    <w:rPr>
      <w:rFonts w:ascii="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knightfrank.co.uk/commercial/sectors/viticulture"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3E66FDEA6588C439533D1985D217C61" ma:contentTypeVersion="23" ma:contentTypeDescription="Create a new document." ma:contentTypeScope="" ma:versionID="0324c652387cb79025873b3bed312a0a">
  <xsd:schema xmlns:xsd="http://www.w3.org/2001/XMLSchema" xmlns:xs="http://www.w3.org/2001/XMLSchema" xmlns:p="http://schemas.microsoft.com/office/2006/metadata/properties" xmlns:ns2="ba6c1b53-23dd-4e60-899e-25a5748f1f6a" xmlns:ns3="7b3ef04f-748c-46e3-a85e-fbab415801f5" targetNamespace="http://schemas.microsoft.com/office/2006/metadata/properties" ma:root="true" ma:fieldsID="9bcd20aaec1aa37bd5658b9c4711e5de" ns2:_="" ns3:_="">
    <xsd:import namespace="ba6c1b53-23dd-4e60-899e-25a5748f1f6a"/>
    <xsd:import namespace="7b3ef04f-748c-46e3-a85e-fbab415801f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Photo" minOccurs="0"/>
                <xsd:element ref="ns2:Picture" minOccurs="0"/>
                <xsd:element ref="ns2:Image" minOccurs="0"/>
                <xsd:element ref="ns2:MediaLengthInSeconds" minOccurs="0"/>
                <xsd:element ref="ns2:_Flow_SignoffStatu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6c1b53-23dd-4e60-899e-25a5748f1f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Photo" ma:index="20" nillable="true" ma:displayName="Photo" ma:format="Image" ma:internalName="Photo">
      <xsd:complexType>
        <xsd:complexContent>
          <xsd:extension base="dms:URL">
            <xsd:sequence>
              <xsd:element name="Url" type="dms:ValidUrl" minOccurs="0" nillable="true"/>
              <xsd:element name="Description" type="xsd:string" nillable="true"/>
            </xsd:sequence>
          </xsd:extension>
        </xsd:complexContent>
      </xsd:complexType>
    </xsd:element>
    <xsd:element name="Picture" ma:index="21" nillable="true" ma:displayName="Picture" ma:format="Image" ma:internalName="Picture">
      <xsd:complexType>
        <xsd:complexContent>
          <xsd:extension base="dms:URL">
            <xsd:sequence>
              <xsd:element name="Url" type="dms:ValidUrl" minOccurs="0" nillable="true"/>
              <xsd:element name="Description" type="xsd:string" nillable="true"/>
            </xsd:sequence>
          </xsd:extension>
        </xsd:complexContent>
      </xsd:complexType>
    </xsd:element>
    <xsd:element name="Image" ma:index="22" nillable="true" ma:displayName="Image" ma:format="Hyperlink" ma:internalName="Image">
      <xsd:complexType>
        <xsd:complexContent>
          <xsd:extension base="dms:URL">
            <xsd:sequence>
              <xsd:element name="Url" type="dms:ValidUrl" minOccurs="0" nillable="true"/>
              <xsd:element name="Description" type="xsd:string" nillable="true"/>
            </xsd:sequence>
          </xsd:extension>
        </xsd:complexContent>
      </xsd:complexType>
    </xsd:element>
    <xsd:element name="MediaLengthInSeconds" ma:index="23" nillable="true" ma:displayName="Length (seconds)" ma:internalName="MediaLengthInSeconds" ma:readOnly="true">
      <xsd:simpleType>
        <xsd:restriction base="dms:Unknown"/>
      </xsd:simpleType>
    </xsd:element>
    <xsd:element name="_Flow_SignoffStatus" ma:index="24" nillable="true" ma:displayName="Sign-off status" ma:internalName="Sign_x002d_off_x0020_status">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4e73b6de-a4f7-4616-ae85-70b198381ff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3ef04f-748c-46e3-a85e-fbab415801f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257936a3-0942-42df-aa9e-7db7f9214114}" ma:internalName="TaxCatchAll" ma:showField="CatchAllData" ma:web="7b3ef04f-748c-46e3-a85e-fbab415801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hoto xmlns="ba6c1b53-23dd-4e60-899e-25a5748f1f6a">
      <Url xsi:nil="true"/>
      <Description xsi:nil="true"/>
    </Photo>
    <TaxCatchAll xmlns="7b3ef04f-748c-46e3-a85e-fbab415801f5" xsi:nil="true"/>
    <Picture xmlns="ba6c1b53-23dd-4e60-899e-25a5748f1f6a">
      <Url xsi:nil="true"/>
      <Description xsi:nil="true"/>
    </Picture>
    <Image xmlns="ba6c1b53-23dd-4e60-899e-25a5748f1f6a">
      <Url xsi:nil="true"/>
      <Description xsi:nil="true"/>
    </Image>
    <_Flow_SignoffStatus xmlns="ba6c1b53-23dd-4e60-899e-25a5748f1f6a" xsi:nil="true"/>
    <lcf76f155ced4ddcb4097134ff3c332f xmlns="ba6c1b53-23dd-4e60-899e-25a5748f1f6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CD09686-FEE3-4109-9311-E138185CE736}">
  <ds:schemaRefs>
    <ds:schemaRef ds:uri="http://schemas.microsoft.com/sharepoint/v3/contenttype/forms"/>
  </ds:schemaRefs>
</ds:datastoreItem>
</file>

<file path=customXml/itemProps2.xml><?xml version="1.0" encoding="utf-8"?>
<ds:datastoreItem xmlns:ds="http://schemas.openxmlformats.org/officeDocument/2006/customXml" ds:itemID="{050FC9A4-4328-4803-BCF8-BFDB2661E9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6c1b53-23dd-4e60-899e-25a5748f1f6a"/>
    <ds:schemaRef ds:uri="7b3ef04f-748c-46e3-a85e-fbab415801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1FCDD2-1C3C-4881-ADE5-D7D023914F77}">
  <ds:schemaRefs>
    <ds:schemaRef ds:uri="http://schemas.microsoft.com/office/2006/metadata/properties"/>
    <ds:schemaRef ds:uri="http://schemas.microsoft.com/office/infopath/2007/PartnerControls"/>
    <ds:schemaRef ds:uri="ba6c1b53-23dd-4e60-899e-25a5748f1f6a"/>
    <ds:schemaRef ds:uri="7b3ef04f-748c-46e3-a85e-fbab415801f5"/>
  </ds:schemaRefs>
</ds:datastoreItem>
</file>

<file path=docProps/app.xml><?xml version="1.0" encoding="utf-8"?>
<Properties xmlns="http://schemas.openxmlformats.org/officeDocument/2006/extended-properties" xmlns:vt="http://schemas.openxmlformats.org/officeDocument/2006/docPropsVTypes">
  <Template>Normal.dotm</Template>
  <TotalTime>1850</TotalTime>
  <Pages>2</Pages>
  <Words>807</Words>
  <Characters>4602</Characters>
  <Application>Microsoft Office Word</Application>
  <DocSecurity>0</DocSecurity>
  <Lines>38</Lines>
  <Paragraphs>10</Paragraphs>
  <ScaleCrop>false</ScaleCrop>
  <Company/>
  <LinksUpToDate>false</LinksUpToDate>
  <CharactersWithSpaces>5399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Insch</dc:creator>
  <cp:keywords/>
  <dc:description/>
  <cp:lastModifiedBy>Katie Insch</cp:lastModifiedBy>
  <cp:revision>85</cp:revision>
  <dcterms:created xsi:type="dcterms:W3CDTF">2026-06-22T13:42:00Z</dcterms:created>
  <dcterms:modified xsi:type="dcterms:W3CDTF">2026-06-25T09:59:00Z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0x010100C3E66FDEA6588C439533D1985D217C61</vt:lpwstr>
  </property>
  <property fmtid="{D5CDD505-2E9C-101B-9397-08002B2CF9AE}" pid="3" name="MediaServiceImageTags">
    <vt:lpwstr/>
  </property>
</Properties>
</file>