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894"/>
      </w:tblGrid>
      <w:tr w:rsidR="001D2E2B" w14:paraId="48FEDCA3" w14:textId="77777777" w:rsidTr="00EC05B9">
        <w:tc>
          <w:tcPr>
            <w:tcW w:w="4428" w:type="dxa"/>
            <w:vAlign w:val="center"/>
            <w:hideMark/>
          </w:tcPr>
          <w:p w14:paraId="5F329EB4" w14:textId="77777777" w:rsidR="001D2E2B" w:rsidRDefault="001D2E2B" w:rsidP="00EC05B9">
            <w:pPr>
              <w:widowControl w:val="0"/>
              <w:autoSpaceDE w:val="0"/>
              <w:autoSpaceDN w:val="0"/>
              <w:adjustRightInd w:val="0"/>
              <w:spacing w:line="240" w:lineRule="auto"/>
              <w:jc w:val="both"/>
              <w:rPr>
                <w:rFonts w:ascii="Times New Roman" w:hAnsi="Times New Roman"/>
              </w:rPr>
            </w:pPr>
            <w:r>
              <w:rPr>
                <w:rFonts w:ascii="Times New Roman" w:hAnsi="Times New Roman"/>
                <w:noProof/>
                <w:lang w:eastAsia="en-IE"/>
              </w:rPr>
              <w:drawing>
                <wp:inline distT="0" distB="0" distL="0" distR="0" wp14:anchorId="4A83DD9A" wp14:editId="3FD93596">
                  <wp:extent cx="1266825" cy="1019175"/>
                  <wp:effectExtent l="0" t="0" r="9525" b="9525"/>
                  <wp:docPr id="1" name="Picture 1" descr="A logo with a red and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red and black de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019175"/>
                          </a:xfrm>
                          <a:prstGeom prst="rect">
                            <a:avLst/>
                          </a:prstGeom>
                          <a:noFill/>
                          <a:ln>
                            <a:noFill/>
                          </a:ln>
                        </pic:spPr>
                      </pic:pic>
                    </a:graphicData>
                  </a:graphic>
                </wp:inline>
              </w:drawing>
            </w:r>
          </w:p>
        </w:tc>
        <w:tc>
          <w:tcPr>
            <w:tcW w:w="4894" w:type="dxa"/>
            <w:vAlign w:val="center"/>
            <w:hideMark/>
          </w:tcPr>
          <w:p w14:paraId="33FF3DBA" w14:textId="77777777" w:rsidR="001D2E2B" w:rsidRDefault="001D2E2B" w:rsidP="00EC05B9">
            <w:pPr>
              <w:widowControl w:val="0"/>
              <w:autoSpaceDE w:val="0"/>
              <w:autoSpaceDN w:val="0"/>
              <w:adjustRightInd w:val="0"/>
              <w:spacing w:line="240" w:lineRule="auto"/>
              <w:jc w:val="both"/>
              <w:rPr>
                <w:rFonts w:ascii="Candara" w:hAnsi="Candara"/>
                <w:b/>
                <w:sz w:val="32"/>
                <w:szCs w:val="32"/>
              </w:rPr>
            </w:pPr>
            <w:r>
              <w:rPr>
                <w:rFonts w:ascii="Candara" w:hAnsi="Candara"/>
                <w:b/>
                <w:sz w:val="32"/>
                <w:szCs w:val="32"/>
              </w:rPr>
              <w:t xml:space="preserve">Association of </w:t>
            </w:r>
            <w:proofErr w:type="spellStart"/>
            <w:r>
              <w:rPr>
                <w:rFonts w:ascii="Candara" w:hAnsi="Candara"/>
                <w:b/>
                <w:sz w:val="32"/>
                <w:szCs w:val="32"/>
              </w:rPr>
              <w:t>Hispanists</w:t>
            </w:r>
            <w:proofErr w:type="spellEnd"/>
            <w:r>
              <w:rPr>
                <w:rFonts w:ascii="Candara" w:hAnsi="Candara"/>
                <w:b/>
                <w:sz w:val="32"/>
                <w:szCs w:val="32"/>
              </w:rPr>
              <w:t xml:space="preserve"> of</w:t>
            </w:r>
          </w:p>
          <w:p w14:paraId="61EFD658" w14:textId="77777777" w:rsidR="001D2E2B" w:rsidRDefault="001D2E2B" w:rsidP="00EC05B9">
            <w:pPr>
              <w:widowControl w:val="0"/>
              <w:autoSpaceDE w:val="0"/>
              <w:autoSpaceDN w:val="0"/>
              <w:adjustRightInd w:val="0"/>
              <w:spacing w:line="240" w:lineRule="auto"/>
              <w:jc w:val="both"/>
              <w:rPr>
                <w:rFonts w:ascii="Candara" w:hAnsi="Candara"/>
                <w:b/>
                <w:sz w:val="32"/>
                <w:szCs w:val="32"/>
              </w:rPr>
            </w:pPr>
            <w:r>
              <w:rPr>
                <w:rFonts w:ascii="Candara" w:hAnsi="Candara"/>
                <w:b/>
                <w:sz w:val="32"/>
                <w:szCs w:val="32"/>
              </w:rPr>
              <w:t>Great Britain and Ireland</w:t>
            </w:r>
          </w:p>
        </w:tc>
      </w:tr>
    </w:tbl>
    <w:p w14:paraId="74633DEA" w14:textId="77777777" w:rsidR="001D2E2B" w:rsidRDefault="001D2E2B" w:rsidP="001D2E2B">
      <w:pPr>
        <w:spacing w:after="240" w:line="360" w:lineRule="auto"/>
        <w:jc w:val="both"/>
        <w:rPr>
          <w:rFonts w:asciiTheme="majorHAnsi" w:hAnsiTheme="majorHAnsi"/>
          <w:b/>
          <w:sz w:val="28"/>
          <w:szCs w:val="28"/>
        </w:rPr>
      </w:pPr>
    </w:p>
    <w:p w14:paraId="1E4B3F02" w14:textId="77777777" w:rsidR="001D2E2B" w:rsidRDefault="001D2E2B" w:rsidP="001D2E2B">
      <w:pPr>
        <w:pStyle w:val="Default"/>
        <w:spacing w:after="240" w:line="360" w:lineRule="auto"/>
        <w:jc w:val="both"/>
        <w:rPr>
          <w:sz w:val="28"/>
          <w:szCs w:val="28"/>
        </w:rPr>
      </w:pPr>
      <w:r>
        <w:rPr>
          <w:b/>
          <w:bCs/>
          <w:sz w:val="28"/>
          <w:szCs w:val="28"/>
        </w:rPr>
        <w:t>Visiting International Fellowship Award</w:t>
      </w:r>
    </w:p>
    <w:p w14:paraId="47BCF316" w14:textId="77777777" w:rsidR="001D2E2B" w:rsidRDefault="001D2E2B" w:rsidP="001D2E2B">
      <w:pPr>
        <w:pStyle w:val="Default"/>
        <w:spacing w:after="240" w:line="360" w:lineRule="auto"/>
        <w:jc w:val="both"/>
        <w:rPr>
          <w:sz w:val="23"/>
          <w:szCs w:val="23"/>
        </w:rPr>
      </w:pPr>
      <w:r>
        <w:rPr>
          <w:sz w:val="23"/>
          <w:szCs w:val="23"/>
        </w:rPr>
        <w:t xml:space="preserve">In light of its commitment to international mobility and collaboration within the subject areas it represents, the </w:t>
      </w:r>
      <w:r>
        <w:rPr>
          <w:iCs/>
          <w:sz w:val="23"/>
          <w:szCs w:val="23"/>
        </w:rPr>
        <w:t xml:space="preserve">Association of </w:t>
      </w:r>
      <w:proofErr w:type="spellStart"/>
      <w:r>
        <w:rPr>
          <w:iCs/>
          <w:sz w:val="23"/>
          <w:szCs w:val="23"/>
        </w:rPr>
        <w:t>Hispanists</w:t>
      </w:r>
      <w:proofErr w:type="spellEnd"/>
      <w:r>
        <w:rPr>
          <w:iCs/>
          <w:sz w:val="23"/>
          <w:szCs w:val="23"/>
        </w:rPr>
        <w:t xml:space="preserve"> of Great Britain and Ireland</w:t>
      </w:r>
      <w:r>
        <w:rPr>
          <w:i/>
          <w:iCs/>
          <w:sz w:val="23"/>
          <w:szCs w:val="23"/>
        </w:rPr>
        <w:t xml:space="preserve"> </w:t>
      </w:r>
      <w:r>
        <w:rPr>
          <w:iCs/>
          <w:sz w:val="23"/>
          <w:szCs w:val="23"/>
        </w:rPr>
        <w:t xml:space="preserve">(AHGBI) </w:t>
      </w:r>
      <w:r>
        <w:rPr>
          <w:sz w:val="23"/>
          <w:szCs w:val="23"/>
        </w:rPr>
        <w:t xml:space="preserve">will offer funding for a grant to support an annual visiting fellowship, tenable in any UK or Irish university, or institution of higher education in the UK or Ireland, to enable outstanding academics in the field of Hispanic or Luso-Brazilian studies based in overseas universities to spend time at UK or Irish higher education institutions. The </w:t>
      </w:r>
      <w:r>
        <w:rPr>
          <w:iCs/>
          <w:sz w:val="23"/>
          <w:szCs w:val="23"/>
        </w:rPr>
        <w:t>AHGBI</w:t>
      </w:r>
      <w:r>
        <w:rPr>
          <w:i/>
          <w:iCs/>
          <w:sz w:val="23"/>
          <w:szCs w:val="23"/>
        </w:rPr>
        <w:t xml:space="preserve"> </w:t>
      </w:r>
      <w:r>
        <w:rPr>
          <w:sz w:val="23"/>
          <w:szCs w:val="23"/>
        </w:rPr>
        <w:t xml:space="preserve">has supported this initiative since 2016. The scheme is designed to support established and early career scholars, although exceptionally the </w:t>
      </w:r>
      <w:r>
        <w:rPr>
          <w:iCs/>
          <w:sz w:val="23"/>
          <w:szCs w:val="23"/>
        </w:rPr>
        <w:t>AHGBI</w:t>
      </w:r>
      <w:r>
        <w:rPr>
          <w:i/>
          <w:iCs/>
          <w:sz w:val="23"/>
          <w:szCs w:val="23"/>
        </w:rPr>
        <w:t xml:space="preserve"> </w:t>
      </w:r>
      <w:r>
        <w:rPr>
          <w:sz w:val="23"/>
          <w:szCs w:val="23"/>
        </w:rPr>
        <w:t xml:space="preserve">may be prepared to consider candidates—such as authors, artists—who do not hold a university post. </w:t>
      </w:r>
    </w:p>
    <w:p w14:paraId="36C67825" w14:textId="7C997CEB" w:rsidR="001D2E2B" w:rsidRDefault="001D2E2B" w:rsidP="001D2E2B">
      <w:pPr>
        <w:widowControl w:val="0"/>
        <w:autoSpaceDE w:val="0"/>
        <w:autoSpaceDN w:val="0"/>
        <w:adjustRightInd w:val="0"/>
        <w:spacing w:line="360" w:lineRule="auto"/>
        <w:jc w:val="both"/>
        <w:rPr>
          <w:rFonts w:ascii="Cambria" w:hAnsi="Cambria" w:cs="Calibri"/>
          <w:sz w:val="23"/>
          <w:szCs w:val="23"/>
          <w:lang w:eastAsia="en-GB"/>
        </w:rPr>
      </w:pPr>
      <w:r>
        <w:rPr>
          <w:rFonts w:ascii="Cambria" w:hAnsi="Cambria" w:cs="Calibri"/>
          <w:bCs/>
          <w:color w:val="191919"/>
          <w:sz w:val="23"/>
          <w:szCs w:val="23"/>
          <w:lang w:eastAsia="en-GB"/>
        </w:rPr>
        <w:t>T</w:t>
      </w:r>
      <w:r w:rsidR="00DF20BC">
        <w:rPr>
          <w:rFonts w:ascii="Cambria" w:hAnsi="Cambria" w:cs="Calibri"/>
          <w:bCs/>
          <w:color w:val="191919"/>
          <w:sz w:val="23"/>
          <w:szCs w:val="23"/>
          <w:lang w:eastAsia="en-GB"/>
        </w:rPr>
        <w:t>his year we</w:t>
      </w:r>
      <w:r w:rsidR="00C91D52">
        <w:rPr>
          <w:rFonts w:ascii="Cambria" w:hAnsi="Cambria" w:cs="Calibri"/>
          <w:bCs/>
          <w:color w:val="191919"/>
          <w:sz w:val="23"/>
          <w:szCs w:val="23"/>
          <w:lang w:eastAsia="en-GB"/>
        </w:rPr>
        <w:t xml:space="preserve"> expect to award one</w:t>
      </w:r>
      <w:r>
        <w:rPr>
          <w:rFonts w:ascii="Cambria" w:hAnsi="Cambria" w:cs="Calibri"/>
          <w:bCs/>
          <w:color w:val="191919"/>
          <w:sz w:val="23"/>
          <w:szCs w:val="23"/>
          <w:lang w:eastAsia="en-GB"/>
        </w:rPr>
        <w:t xml:space="preserve"> fellowship</w:t>
      </w:r>
      <w:r w:rsidR="00C91D52">
        <w:rPr>
          <w:rFonts w:ascii="Cambria" w:hAnsi="Cambria" w:cs="Calibri"/>
          <w:bCs/>
          <w:color w:val="191919"/>
          <w:sz w:val="23"/>
          <w:szCs w:val="23"/>
          <w:lang w:eastAsia="en-GB"/>
        </w:rPr>
        <w:t xml:space="preserve"> </w:t>
      </w:r>
      <w:r w:rsidR="00BA4961">
        <w:rPr>
          <w:rFonts w:ascii="Cambria" w:hAnsi="Cambria" w:cs="Calibri"/>
          <w:bCs/>
          <w:color w:val="191919"/>
          <w:sz w:val="23"/>
          <w:szCs w:val="23"/>
          <w:lang w:eastAsia="en-GB"/>
        </w:rPr>
        <w:t>to take place during the</w:t>
      </w:r>
      <w:r w:rsidR="00C91D52">
        <w:rPr>
          <w:rFonts w:ascii="Cambria" w:hAnsi="Cambria" w:cs="Calibri"/>
          <w:bCs/>
          <w:color w:val="191919"/>
          <w:sz w:val="23"/>
          <w:szCs w:val="23"/>
          <w:lang w:eastAsia="en-GB"/>
        </w:rPr>
        <w:t xml:space="preserve"> second</w:t>
      </w:r>
      <w:r>
        <w:rPr>
          <w:rFonts w:ascii="Cambria" w:hAnsi="Cambria" w:cs="Calibri"/>
          <w:bCs/>
          <w:color w:val="191919"/>
          <w:sz w:val="23"/>
          <w:szCs w:val="23"/>
          <w:lang w:eastAsia="en-GB"/>
        </w:rPr>
        <w:t xml:space="preserve"> semester</w:t>
      </w:r>
      <w:r w:rsidR="00C91D52">
        <w:rPr>
          <w:rFonts w:ascii="Cambria" w:hAnsi="Cambria" w:cs="Calibri"/>
          <w:bCs/>
          <w:color w:val="191919"/>
          <w:sz w:val="23"/>
          <w:szCs w:val="23"/>
          <w:lang w:eastAsia="en-GB"/>
        </w:rPr>
        <w:t xml:space="preserve"> </w:t>
      </w:r>
      <w:r>
        <w:rPr>
          <w:rFonts w:ascii="Cambria" w:hAnsi="Cambria" w:cs="Calibri"/>
          <w:bCs/>
          <w:color w:val="191919"/>
          <w:sz w:val="23"/>
          <w:szCs w:val="23"/>
          <w:lang w:eastAsia="en-GB"/>
        </w:rPr>
        <w:t>of academic year 202</w:t>
      </w:r>
      <w:r w:rsidR="00DC5D87">
        <w:rPr>
          <w:rFonts w:ascii="Cambria" w:hAnsi="Cambria" w:cs="Calibri"/>
          <w:bCs/>
          <w:color w:val="191919"/>
          <w:sz w:val="23"/>
          <w:szCs w:val="23"/>
          <w:lang w:eastAsia="en-GB"/>
        </w:rPr>
        <w:t>5</w:t>
      </w:r>
      <w:r>
        <w:rPr>
          <w:rFonts w:ascii="Cambria" w:hAnsi="Cambria" w:cs="Calibri"/>
          <w:bCs/>
          <w:color w:val="191919"/>
          <w:sz w:val="23"/>
          <w:szCs w:val="23"/>
          <w:lang w:eastAsia="en-GB"/>
        </w:rPr>
        <w:t>-202</w:t>
      </w:r>
      <w:r w:rsidR="00DC5D87">
        <w:rPr>
          <w:rFonts w:ascii="Cambria" w:hAnsi="Cambria" w:cs="Calibri"/>
          <w:bCs/>
          <w:color w:val="191919"/>
          <w:sz w:val="23"/>
          <w:szCs w:val="23"/>
          <w:lang w:eastAsia="en-GB"/>
        </w:rPr>
        <w:t>6</w:t>
      </w:r>
      <w:r>
        <w:rPr>
          <w:rFonts w:ascii="Cambria" w:hAnsi="Cambria" w:cs="Calibri"/>
          <w:color w:val="191919"/>
          <w:sz w:val="23"/>
          <w:szCs w:val="23"/>
          <w:lang w:eastAsia="en-GB"/>
        </w:rPr>
        <w:t>.</w:t>
      </w:r>
    </w:p>
    <w:p w14:paraId="76FC0585" w14:textId="77777777" w:rsidR="001D2E2B" w:rsidRPr="00DC5D87" w:rsidRDefault="001D2E2B" w:rsidP="001D2E2B">
      <w:pPr>
        <w:pStyle w:val="Default"/>
        <w:spacing w:after="240" w:line="360" w:lineRule="auto"/>
        <w:jc w:val="both"/>
        <w:rPr>
          <w:lang w:val="en-IE"/>
        </w:rPr>
      </w:pPr>
    </w:p>
    <w:p w14:paraId="3D6CB69A" w14:textId="04AC4D91" w:rsidR="001D2E2B" w:rsidRDefault="001D2E2B" w:rsidP="001D2E2B">
      <w:pPr>
        <w:pStyle w:val="Default"/>
        <w:spacing w:after="240" w:line="360" w:lineRule="auto"/>
        <w:jc w:val="both"/>
        <w:rPr>
          <w:b/>
          <w:sz w:val="23"/>
          <w:szCs w:val="23"/>
        </w:rPr>
      </w:pPr>
      <w:r>
        <w:rPr>
          <w:b/>
          <w:sz w:val="23"/>
          <w:szCs w:val="23"/>
        </w:rPr>
        <w:t>Deadline</w:t>
      </w:r>
      <w:r w:rsidR="00CF7545">
        <w:rPr>
          <w:b/>
          <w:sz w:val="23"/>
          <w:szCs w:val="23"/>
        </w:rPr>
        <w:t xml:space="preserve"> for submission of applications</w:t>
      </w:r>
      <w:r>
        <w:rPr>
          <w:b/>
          <w:sz w:val="23"/>
          <w:szCs w:val="23"/>
        </w:rPr>
        <w:t xml:space="preserve">:  </w:t>
      </w:r>
      <w:r w:rsidR="00DC5D87">
        <w:rPr>
          <w:b/>
          <w:sz w:val="23"/>
          <w:szCs w:val="23"/>
        </w:rPr>
        <w:t>2</w:t>
      </w:r>
      <w:r w:rsidR="00187A4A">
        <w:rPr>
          <w:b/>
          <w:sz w:val="23"/>
          <w:szCs w:val="23"/>
        </w:rPr>
        <w:t>6</w:t>
      </w:r>
      <w:r w:rsidR="00187A4A" w:rsidRPr="00187A4A">
        <w:rPr>
          <w:b/>
          <w:sz w:val="23"/>
          <w:szCs w:val="23"/>
          <w:vertAlign w:val="superscript"/>
        </w:rPr>
        <w:t>th</w:t>
      </w:r>
      <w:r w:rsidR="00187A4A">
        <w:rPr>
          <w:b/>
          <w:sz w:val="23"/>
          <w:szCs w:val="23"/>
        </w:rPr>
        <w:t xml:space="preserve"> </w:t>
      </w:r>
      <w:r w:rsidR="000F4B74">
        <w:rPr>
          <w:b/>
          <w:sz w:val="23"/>
          <w:szCs w:val="23"/>
        </w:rPr>
        <w:t>September</w:t>
      </w:r>
      <w:r w:rsidR="00187A4A">
        <w:rPr>
          <w:b/>
          <w:sz w:val="23"/>
          <w:szCs w:val="23"/>
        </w:rPr>
        <w:t xml:space="preserve"> 202</w:t>
      </w:r>
      <w:r w:rsidR="00DC5D87">
        <w:rPr>
          <w:b/>
          <w:sz w:val="23"/>
          <w:szCs w:val="23"/>
        </w:rPr>
        <w:t>5</w:t>
      </w:r>
      <w:r>
        <w:rPr>
          <w:b/>
          <w:sz w:val="23"/>
          <w:szCs w:val="23"/>
        </w:rPr>
        <w:t xml:space="preserve">, </w:t>
      </w:r>
      <w:r w:rsidR="000F4B74">
        <w:rPr>
          <w:b/>
          <w:sz w:val="23"/>
          <w:szCs w:val="23"/>
        </w:rPr>
        <w:t>5</w:t>
      </w:r>
      <w:r>
        <w:rPr>
          <w:b/>
          <w:sz w:val="23"/>
          <w:szCs w:val="23"/>
        </w:rPr>
        <w:t>:00 pm</w:t>
      </w:r>
    </w:p>
    <w:p w14:paraId="0EA61262" w14:textId="77777777" w:rsidR="001D2E2B" w:rsidRDefault="001D2E2B" w:rsidP="001D2E2B">
      <w:pPr>
        <w:pStyle w:val="Default"/>
        <w:spacing w:after="240" w:line="360" w:lineRule="auto"/>
        <w:jc w:val="both"/>
        <w:rPr>
          <w:sz w:val="23"/>
          <w:szCs w:val="23"/>
        </w:rPr>
      </w:pPr>
    </w:p>
    <w:p w14:paraId="141BE450" w14:textId="53FB929F" w:rsidR="001D2E2B" w:rsidRDefault="001D2E2B" w:rsidP="001D2E2B">
      <w:pPr>
        <w:pStyle w:val="Default"/>
        <w:spacing w:after="240" w:line="360" w:lineRule="auto"/>
        <w:jc w:val="both"/>
        <w:rPr>
          <w:sz w:val="23"/>
          <w:szCs w:val="23"/>
        </w:rPr>
      </w:pPr>
      <w:r>
        <w:rPr>
          <w:sz w:val="23"/>
          <w:szCs w:val="23"/>
        </w:rPr>
        <w:t>Applicants will normally be notified of the outcome of their application within</w:t>
      </w:r>
      <w:r w:rsidR="00187A4A">
        <w:rPr>
          <w:sz w:val="23"/>
          <w:szCs w:val="23"/>
        </w:rPr>
        <w:t xml:space="preserve"> one month </w:t>
      </w:r>
      <w:r>
        <w:rPr>
          <w:sz w:val="23"/>
          <w:szCs w:val="23"/>
        </w:rPr>
        <w:t>of the date of the applicatio</w:t>
      </w:r>
      <w:r w:rsidR="00A03D7B">
        <w:rPr>
          <w:sz w:val="23"/>
          <w:szCs w:val="23"/>
        </w:rPr>
        <w:t>n</w:t>
      </w:r>
      <w:r>
        <w:rPr>
          <w:sz w:val="23"/>
          <w:szCs w:val="23"/>
        </w:rPr>
        <w:t>.</w:t>
      </w:r>
    </w:p>
    <w:p w14:paraId="0D129912" w14:textId="77777777" w:rsidR="001D2E2B" w:rsidRDefault="001D2E2B" w:rsidP="001D2E2B">
      <w:pPr>
        <w:spacing w:after="200" w:line="276" w:lineRule="auto"/>
        <w:jc w:val="both"/>
        <w:rPr>
          <w:rFonts w:cs="Cambria"/>
          <w:b/>
          <w:bCs/>
          <w:color w:val="000000"/>
          <w:sz w:val="23"/>
          <w:szCs w:val="23"/>
        </w:rPr>
      </w:pPr>
      <w:r>
        <w:rPr>
          <w:b/>
          <w:bCs/>
          <w:sz w:val="23"/>
          <w:szCs w:val="23"/>
        </w:rPr>
        <w:br w:type="page"/>
      </w:r>
    </w:p>
    <w:p w14:paraId="1D87105F" w14:textId="77777777" w:rsidR="001D2E2B" w:rsidRDefault="001D2E2B" w:rsidP="001D2E2B">
      <w:pPr>
        <w:pStyle w:val="Default"/>
        <w:spacing w:after="240" w:line="360" w:lineRule="auto"/>
        <w:jc w:val="both"/>
        <w:rPr>
          <w:sz w:val="23"/>
          <w:szCs w:val="23"/>
        </w:rPr>
      </w:pPr>
      <w:r>
        <w:rPr>
          <w:b/>
          <w:bCs/>
          <w:sz w:val="23"/>
          <w:szCs w:val="23"/>
        </w:rPr>
        <w:lastRenderedPageBreak/>
        <w:t>Purpose of grant, criteria for selection and eligible costs</w:t>
      </w:r>
    </w:p>
    <w:p w14:paraId="618BD544" w14:textId="77777777" w:rsidR="001D2E2B" w:rsidRDefault="001D2E2B" w:rsidP="001D2E2B">
      <w:pPr>
        <w:pStyle w:val="Default"/>
        <w:spacing w:after="240" w:line="360" w:lineRule="auto"/>
        <w:jc w:val="both"/>
        <w:rPr>
          <w:sz w:val="23"/>
          <w:szCs w:val="23"/>
        </w:rPr>
      </w:pPr>
      <w:r>
        <w:rPr>
          <w:sz w:val="23"/>
          <w:szCs w:val="23"/>
        </w:rPr>
        <w:t>The key objective of the Fellowship grant is to encourage the internationalization of Hispanic and Luso-Brazilian Studies in the UK and Ireland through engagement with those active in the field elsewhere; it is also intended that Fellows will wish to use the occasion to further their own academic interests, and to visit more than one UK/Irish institution. The emphasis will be on collaboration and on the diffusion of skills and knowledge, and priority will be given to new or recent collaborative ventures. Where a visit builds on existing collaboration, the applicant in the UK or Ireland should explain what the visit will achieve over and above past outcomes. It is the intention that the fellowship may provide a degree of expertise that is not otherwise available within the UK and Irish research base in Hispanic and Luso-Brazilian Studies. Visiting fellows will be expected to offer ‘</w:t>
      </w:r>
      <w:r>
        <w:rPr>
          <w:iCs/>
          <w:sz w:val="23"/>
          <w:szCs w:val="23"/>
        </w:rPr>
        <w:t>AHGBI</w:t>
      </w:r>
      <w:r>
        <w:rPr>
          <w:i/>
          <w:iCs/>
          <w:sz w:val="23"/>
          <w:szCs w:val="23"/>
        </w:rPr>
        <w:t xml:space="preserve"> </w:t>
      </w:r>
      <w:r>
        <w:rPr>
          <w:sz w:val="23"/>
          <w:szCs w:val="23"/>
        </w:rPr>
        <w:t>Lectures’ (or equivalent), either in the host institution or elsewhere, to mark their residence, and these lectures will be advertised on the association’s webpage.</w:t>
      </w:r>
    </w:p>
    <w:p w14:paraId="4C8179DA" w14:textId="77777777" w:rsidR="001D2E2B" w:rsidRDefault="001D2E2B" w:rsidP="001D2E2B">
      <w:pPr>
        <w:pStyle w:val="Default"/>
        <w:spacing w:after="240" w:line="360" w:lineRule="auto"/>
        <w:jc w:val="both"/>
        <w:rPr>
          <w:color w:val="auto"/>
          <w:sz w:val="23"/>
          <w:szCs w:val="23"/>
        </w:rPr>
      </w:pPr>
      <w:r>
        <w:rPr>
          <w:sz w:val="23"/>
          <w:szCs w:val="23"/>
        </w:rPr>
        <w:t>The principal criteria for selection will be (</w:t>
      </w:r>
      <w:proofErr w:type="spellStart"/>
      <w:r>
        <w:rPr>
          <w:sz w:val="23"/>
          <w:szCs w:val="23"/>
        </w:rPr>
        <w:t>i</w:t>
      </w:r>
      <w:proofErr w:type="spellEnd"/>
      <w:r>
        <w:rPr>
          <w:sz w:val="23"/>
          <w:szCs w:val="23"/>
        </w:rPr>
        <w:t xml:space="preserve">) the academic standing and achievements of the visitor in terms of their current career stage; (ii) their potential for making a </w:t>
      </w:r>
      <w:r>
        <w:rPr>
          <w:color w:val="auto"/>
          <w:sz w:val="23"/>
          <w:szCs w:val="23"/>
        </w:rPr>
        <w:t xml:space="preserve">substantial contribution to </w:t>
      </w:r>
      <w:r>
        <w:rPr>
          <w:sz w:val="23"/>
          <w:szCs w:val="23"/>
        </w:rPr>
        <w:t xml:space="preserve">Hispanic and Luso-Brazilian </w:t>
      </w:r>
      <w:r>
        <w:rPr>
          <w:color w:val="auto"/>
          <w:sz w:val="23"/>
          <w:szCs w:val="23"/>
        </w:rPr>
        <w:t xml:space="preserve">Studies in the UK and Ireland; and (iii) the specific nature of the proposed programme during the fellowship. Additionally, and as collaboration is a central aim of the scheme, joint bids from two or more institutions are especially welcomed, and the selection panel will give special consideration to such applications. </w:t>
      </w:r>
    </w:p>
    <w:p w14:paraId="1E2C8C78" w14:textId="77777777" w:rsidR="001D2E2B" w:rsidRDefault="001D2E2B" w:rsidP="001D2E2B">
      <w:pPr>
        <w:pStyle w:val="Default"/>
        <w:spacing w:after="240" w:line="360" w:lineRule="auto"/>
        <w:jc w:val="both"/>
        <w:rPr>
          <w:color w:val="auto"/>
          <w:sz w:val="23"/>
          <w:szCs w:val="23"/>
        </w:rPr>
      </w:pPr>
      <w:r>
        <w:rPr>
          <w:color w:val="auto"/>
          <w:sz w:val="23"/>
          <w:szCs w:val="23"/>
        </w:rPr>
        <w:t xml:space="preserve">Visits should be for no more than four weeks in duration, although an extended period may be appropriate if additional funding is available from institutional sources. There is an expectation that institutions will supplement the </w:t>
      </w:r>
      <w:r>
        <w:rPr>
          <w:iCs/>
          <w:color w:val="auto"/>
          <w:sz w:val="23"/>
          <w:szCs w:val="23"/>
        </w:rPr>
        <w:t>Association</w:t>
      </w:r>
      <w:r>
        <w:rPr>
          <w:color w:val="auto"/>
          <w:sz w:val="23"/>
          <w:szCs w:val="23"/>
        </w:rPr>
        <w:t xml:space="preserve">’s grant, and the level of additional support offered will be taken into consideration in the allocation of the award. </w:t>
      </w:r>
    </w:p>
    <w:p w14:paraId="2E159D21" w14:textId="77777777" w:rsidR="001D2E2B" w:rsidRDefault="001D2E2B" w:rsidP="001D2E2B">
      <w:pPr>
        <w:pStyle w:val="Default"/>
        <w:spacing w:after="240" w:line="360" w:lineRule="auto"/>
        <w:jc w:val="both"/>
        <w:rPr>
          <w:color w:val="auto"/>
          <w:sz w:val="23"/>
          <w:szCs w:val="23"/>
        </w:rPr>
      </w:pPr>
      <w:r>
        <w:rPr>
          <w:b/>
          <w:bCs/>
          <w:color w:val="auto"/>
          <w:sz w:val="23"/>
          <w:szCs w:val="23"/>
        </w:rPr>
        <w:t>Eligible subject areas</w:t>
      </w:r>
    </w:p>
    <w:p w14:paraId="0E39C40C" w14:textId="38722F0D" w:rsidR="001D2E2B" w:rsidRDefault="001D2E2B" w:rsidP="001D2E2B">
      <w:pPr>
        <w:pStyle w:val="Default"/>
        <w:spacing w:after="240" w:line="360" w:lineRule="auto"/>
        <w:jc w:val="both"/>
        <w:rPr>
          <w:color w:val="auto"/>
          <w:sz w:val="23"/>
          <w:szCs w:val="23"/>
        </w:rPr>
      </w:pPr>
      <w:r>
        <w:rPr>
          <w:color w:val="auto"/>
          <w:sz w:val="23"/>
          <w:szCs w:val="23"/>
        </w:rPr>
        <w:t xml:space="preserve">The </w:t>
      </w:r>
      <w:r>
        <w:rPr>
          <w:iCs/>
          <w:color w:val="auto"/>
          <w:sz w:val="23"/>
          <w:szCs w:val="23"/>
        </w:rPr>
        <w:t xml:space="preserve">Association of </w:t>
      </w:r>
      <w:proofErr w:type="spellStart"/>
      <w:r>
        <w:rPr>
          <w:iCs/>
          <w:color w:val="auto"/>
          <w:sz w:val="23"/>
          <w:szCs w:val="23"/>
        </w:rPr>
        <w:t>Hispanists</w:t>
      </w:r>
      <w:proofErr w:type="spellEnd"/>
      <w:r>
        <w:rPr>
          <w:iCs/>
          <w:color w:val="auto"/>
          <w:sz w:val="23"/>
          <w:szCs w:val="23"/>
        </w:rPr>
        <w:t xml:space="preserve"> of Great Britain and Ireland</w:t>
      </w:r>
      <w:r>
        <w:rPr>
          <w:i/>
          <w:iCs/>
          <w:color w:val="auto"/>
          <w:sz w:val="23"/>
          <w:szCs w:val="23"/>
        </w:rPr>
        <w:t xml:space="preserve"> </w:t>
      </w:r>
      <w:r>
        <w:rPr>
          <w:color w:val="auto"/>
          <w:sz w:val="23"/>
          <w:szCs w:val="23"/>
        </w:rPr>
        <w:t xml:space="preserve">exists to promote teaching and research across the whole of our discipline, understood in its broadest senses, in higher education. Activities supported by this scheme should be aligned with this objective (as set out in the Aims of our Constitution) but may also support initiatives that explore the limits of </w:t>
      </w:r>
      <w:r>
        <w:rPr>
          <w:sz w:val="23"/>
          <w:szCs w:val="23"/>
        </w:rPr>
        <w:t xml:space="preserve">Hispanic and Luso-Brazilian </w:t>
      </w:r>
      <w:r>
        <w:rPr>
          <w:color w:val="auto"/>
          <w:sz w:val="23"/>
          <w:szCs w:val="23"/>
        </w:rPr>
        <w:t>Studies in interdisciplinary and cross-disciplinary collaboration.</w:t>
      </w:r>
    </w:p>
    <w:p w14:paraId="5922B7A8" w14:textId="77777777" w:rsidR="001D2E2B" w:rsidRDefault="001D2E2B" w:rsidP="001D2E2B">
      <w:pPr>
        <w:pStyle w:val="Default"/>
        <w:spacing w:after="240" w:line="360" w:lineRule="auto"/>
        <w:jc w:val="both"/>
        <w:rPr>
          <w:color w:val="auto"/>
          <w:sz w:val="23"/>
          <w:szCs w:val="23"/>
        </w:rPr>
      </w:pPr>
    </w:p>
    <w:p w14:paraId="23EC83D2" w14:textId="77777777" w:rsidR="001D2E2B" w:rsidRDefault="001D2E2B" w:rsidP="001D2E2B">
      <w:pPr>
        <w:pStyle w:val="Default"/>
        <w:spacing w:after="240" w:line="360" w:lineRule="auto"/>
        <w:jc w:val="both"/>
        <w:rPr>
          <w:color w:val="auto"/>
          <w:sz w:val="23"/>
          <w:szCs w:val="23"/>
        </w:rPr>
      </w:pPr>
      <w:r>
        <w:rPr>
          <w:b/>
          <w:bCs/>
          <w:color w:val="auto"/>
          <w:sz w:val="23"/>
          <w:szCs w:val="23"/>
        </w:rPr>
        <w:lastRenderedPageBreak/>
        <w:t>Eligibility of applicants</w:t>
      </w:r>
    </w:p>
    <w:p w14:paraId="4389D652" w14:textId="77777777" w:rsidR="001D2E2B" w:rsidRDefault="001D2E2B" w:rsidP="001D2E2B">
      <w:pPr>
        <w:pStyle w:val="Default"/>
        <w:spacing w:after="240" w:line="360" w:lineRule="auto"/>
        <w:jc w:val="both"/>
        <w:rPr>
          <w:color w:val="auto"/>
          <w:sz w:val="23"/>
          <w:szCs w:val="23"/>
        </w:rPr>
      </w:pPr>
      <w:r>
        <w:rPr>
          <w:color w:val="auto"/>
          <w:sz w:val="23"/>
          <w:szCs w:val="23"/>
        </w:rPr>
        <w:t xml:space="preserve">Applications must be completed by an academic member of staff in the UK or Irish host institution. The UK or Irish host applicant is also expected to organise, direct and take academic and organisational responsibility of the fellowship. Host applicants must be members of or associated with Higher Education departments of Hispanic Studies (or departments which teach Spanish and/or Portuguese) in the UK and Ireland. Applicants must also be members of the </w:t>
      </w:r>
      <w:r>
        <w:rPr>
          <w:iCs/>
          <w:color w:val="auto"/>
          <w:sz w:val="23"/>
          <w:szCs w:val="23"/>
        </w:rPr>
        <w:t xml:space="preserve">Association of </w:t>
      </w:r>
      <w:proofErr w:type="spellStart"/>
      <w:r>
        <w:rPr>
          <w:iCs/>
          <w:color w:val="auto"/>
          <w:sz w:val="23"/>
          <w:szCs w:val="23"/>
        </w:rPr>
        <w:t>Hispanists</w:t>
      </w:r>
      <w:proofErr w:type="spellEnd"/>
      <w:r>
        <w:rPr>
          <w:iCs/>
          <w:color w:val="auto"/>
          <w:sz w:val="23"/>
          <w:szCs w:val="23"/>
        </w:rPr>
        <w:t xml:space="preserve"> of Great Britain and Ireland</w:t>
      </w:r>
      <w:r>
        <w:rPr>
          <w:color w:val="auto"/>
          <w:sz w:val="23"/>
          <w:szCs w:val="23"/>
        </w:rPr>
        <w:t xml:space="preserve">. No more than one application may be submitted by any institution in one academic year (this applies to collegiate and non-collegiate universities </w:t>
      </w:r>
      <w:proofErr w:type="gramStart"/>
      <w:r>
        <w:rPr>
          <w:color w:val="auto"/>
          <w:sz w:val="23"/>
          <w:szCs w:val="23"/>
        </w:rPr>
        <w:t>alike, and</w:t>
      </w:r>
      <w:proofErr w:type="gramEnd"/>
      <w:r>
        <w:rPr>
          <w:color w:val="auto"/>
          <w:sz w:val="23"/>
          <w:szCs w:val="23"/>
        </w:rPr>
        <w:t xml:space="preserve"> includes joint applications from two or more institutions). </w:t>
      </w:r>
    </w:p>
    <w:p w14:paraId="19EFE920" w14:textId="77777777" w:rsidR="001D2E2B" w:rsidRDefault="001D2E2B" w:rsidP="001D2E2B">
      <w:pPr>
        <w:pStyle w:val="Default"/>
        <w:spacing w:after="240" w:line="360" w:lineRule="auto"/>
        <w:jc w:val="both"/>
        <w:rPr>
          <w:color w:val="auto"/>
          <w:sz w:val="23"/>
          <w:szCs w:val="23"/>
        </w:rPr>
      </w:pPr>
      <w:r>
        <w:rPr>
          <w:b/>
          <w:bCs/>
          <w:color w:val="auto"/>
          <w:sz w:val="23"/>
          <w:szCs w:val="23"/>
        </w:rPr>
        <w:t>Level of Grant</w:t>
      </w:r>
    </w:p>
    <w:p w14:paraId="23CF223B" w14:textId="7E497B05" w:rsidR="001D2E2B" w:rsidRDefault="001D2E2B" w:rsidP="001D2E2B">
      <w:pPr>
        <w:pStyle w:val="Default"/>
        <w:spacing w:after="240" w:line="360" w:lineRule="auto"/>
        <w:jc w:val="both"/>
        <w:rPr>
          <w:color w:val="auto"/>
          <w:sz w:val="23"/>
          <w:szCs w:val="23"/>
        </w:rPr>
      </w:pPr>
      <w:r>
        <w:rPr>
          <w:color w:val="auto"/>
          <w:sz w:val="23"/>
          <w:szCs w:val="23"/>
        </w:rPr>
        <w:t xml:space="preserve">The </w:t>
      </w:r>
      <w:r>
        <w:rPr>
          <w:iCs/>
          <w:color w:val="auto"/>
          <w:sz w:val="23"/>
          <w:szCs w:val="23"/>
        </w:rPr>
        <w:t>AHGBI</w:t>
      </w:r>
      <w:r>
        <w:rPr>
          <w:i/>
          <w:iCs/>
          <w:color w:val="auto"/>
          <w:sz w:val="23"/>
          <w:szCs w:val="23"/>
        </w:rPr>
        <w:t xml:space="preserve"> </w:t>
      </w:r>
      <w:r>
        <w:rPr>
          <w:color w:val="auto"/>
          <w:sz w:val="23"/>
          <w:szCs w:val="23"/>
        </w:rPr>
        <w:t xml:space="preserve">will offer a grant of up to £2,000 to support travel, accommodation, subsistence and other expenses; up to an additional £500 is also available to cover the costs of visiting other institutions in the UK or Ireland. Personal expenditure on items such as visa costs, car hire and health insurance are not eligible, and host institutions </w:t>
      </w:r>
      <w:r w:rsidR="009E53F6">
        <w:rPr>
          <w:color w:val="auto"/>
          <w:sz w:val="23"/>
          <w:szCs w:val="23"/>
        </w:rPr>
        <w:t xml:space="preserve">might be </w:t>
      </w:r>
      <w:proofErr w:type="gramStart"/>
      <w:r w:rsidR="009E53F6">
        <w:rPr>
          <w:color w:val="auto"/>
          <w:sz w:val="23"/>
          <w:szCs w:val="23"/>
        </w:rPr>
        <w:t>in a position</w:t>
      </w:r>
      <w:proofErr w:type="gramEnd"/>
      <w:r w:rsidR="009E53F6">
        <w:rPr>
          <w:color w:val="auto"/>
          <w:sz w:val="23"/>
          <w:szCs w:val="23"/>
        </w:rPr>
        <w:t xml:space="preserve"> to </w:t>
      </w:r>
      <w:r>
        <w:rPr>
          <w:color w:val="auto"/>
          <w:sz w:val="23"/>
          <w:szCs w:val="23"/>
        </w:rPr>
        <w:t>offer support for these. Application for this award will be competitive, and it cannot be made retrospectively.</w:t>
      </w:r>
    </w:p>
    <w:p w14:paraId="5C60EE59" w14:textId="77777777" w:rsidR="001D2E2B" w:rsidRDefault="001D2E2B" w:rsidP="001D2E2B">
      <w:pPr>
        <w:pStyle w:val="Default"/>
        <w:spacing w:after="240" w:line="360" w:lineRule="auto"/>
        <w:jc w:val="both"/>
        <w:rPr>
          <w:rFonts w:cstheme="minorBidi"/>
          <w:color w:val="auto"/>
        </w:rPr>
      </w:pPr>
    </w:p>
    <w:p w14:paraId="0DA4C006" w14:textId="77777777" w:rsidR="001D2E2B" w:rsidRDefault="001D2E2B" w:rsidP="001D2E2B">
      <w:pPr>
        <w:pStyle w:val="Default"/>
        <w:pageBreakBefore/>
        <w:spacing w:after="240" w:line="360" w:lineRule="auto"/>
        <w:jc w:val="both"/>
        <w:rPr>
          <w:color w:val="auto"/>
          <w:sz w:val="23"/>
          <w:szCs w:val="23"/>
        </w:rPr>
      </w:pPr>
      <w:r>
        <w:rPr>
          <w:b/>
          <w:bCs/>
          <w:color w:val="auto"/>
          <w:sz w:val="23"/>
          <w:szCs w:val="23"/>
        </w:rPr>
        <w:lastRenderedPageBreak/>
        <w:t xml:space="preserve">Application Procedure </w:t>
      </w:r>
    </w:p>
    <w:p w14:paraId="04676B0B" w14:textId="77777777" w:rsidR="001D2E2B" w:rsidRDefault="001D2E2B" w:rsidP="001D2E2B">
      <w:pPr>
        <w:pStyle w:val="Default"/>
        <w:spacing w:after="240" w:line="360" w:lineRule="auto"/>
        <w:jc w:val="both"/>
        <w:rPr>
          <w:color w:val="auto"/>
          <w:sz w:val="23"/>
          <w:szCs w:val="23"/>
        </w:rPr>
      </w:pPr>
      <w:proofErr w:type="gramStart"/>
      <w:r>
        <w:rPr>
          <w:color w:val="auto"/>
          <w:sz w:val="23"/>
          <w:szCs w:val="23"/>
        </w:rPr>
        <w:t>In order to</w:t>
      </w:r>
      <w:proofErr w:type="gramEnd"/>
      <w:r>
        <w:rPr>
          <w:color w:val="auto"/>
          <w:sz w:val="23"/>
          <w:szCs w:val="23"/>
        </w:rPr>
        <w:t xml:space="preserve"> apply, please send a letter or email giving the following details:</w:t>
      </w:r>
    </w:p>
    <w:p w14:paraId="0E8235B4" w14:textId="77777777" w:rsidR="001D2E2B" w:rsidRDefault="001D2E2B" w:rsidP="001D2E2B">
      <w:pPr>
        <w:pStyle w:val="Default"/>
        <w:spacing w:after="240" w:line="360" w:lineRule="auto"/>
        <w:jc w:val="both"/>
        <w:rPr>
          <w:color w:val="auto"/>
          <w:sz w:val="23"/>
          <w:szCs w:val="23"/>
        </w:rPr>
      </w:pPr>
      <w:r>
        <w:rPr>
          <w:color w:val="auto"/>
          <w:sz w:val="23"/>
          <w:szCs w:val="23"/>
        </w:rPr>
        <w:t>(</w:t>
      </w:r>
      <w:proofErr w:type="spellStart"/>
      <w:r>
        <w:rPr>
          <w:color w:val="auto"/>
          <w:sz w:val="23"/>
          <w:szCs w:val="23"/>
        </w:rPr>
        <w:t>i</w:t>
      </w:r>
      <w:proofErr w:type="spellEnd"/>
      <w:r>
        <w:rPr>
          <w:color w:val="auto"/>
          <w:sz w:val="23"/>
          <w:szCs w:val="23"/>
        </w:rPr>
        <w:t xml:space="preserve">) name, position and institutional affiliation of the host </w:t>
      </w:r>
      <w:proofErr w:type="gramStart"/>
      <w:r>
        <w:rPr>
          <w:color w:val="auto"/>
          <w:sz w:val="23"/>
          <w:szCs w:val="23"/>
        </w:rPr>
        <w:t>applicant;</w:t>
      </w:r>
      <w:proofErr w:type="gramEnd"/>
      <w:r>
        <w:rPr>
          <w:color w:val="auto"/>
          <w:sz w:val="23"/>
          <w:szCs w:val="23"/>
        </w:rPr>
        <w:t xml:space="preserve"> </w:t>
      </w:r>
    </w:p>
    <w:p w14:paraId="3452F06A" w14:textId="77777777" w:rsidR="001D2E2B" w:rsidRDefault="001D2E2B" w:rsidP="001D2E2B">
      <w:pPr>
        <w:pStyle w:val="Default"/>
        <w:spacing w:after="240" w:line="360" w:lineRule="auto"/>
        <w:jc w:val="both"/>
        <w:rPr>
          <w:color w:val="auto"/>
          <w:sz w:val="23"/>
          <w:szCs w:val="23"/>
        </w:rPr>
      </w:pPr>
      <w:r>
        <w:rPr>
          <w:color w:val="auto"/>
          <w:sz w:val="23"/>
          <w:szCs w:val="23"/>
        </w:rPr>
        <w:t xml:space="preserve">(ii) name, institutional affiliation and outline of career and principal publications/ achievements of the proposed Visiting </w:t>
      </w:r>
      <w:proofErr w:type="gramStart"/>
      <w:r>
        <w:rPr>
          <w:color w:val="auto"/>
          <w:sz w:val="23"/>
          <w:szCs w:val="23"/>
        </w:rPr>
        <w:t>Fellow;</w:t>
      </w:r>
      <w:proofErr w:type="gramEnd"/>
    </w:p>
    <w:p w14:paraId="6CDDEAEC" w14:textId="77777777" w:rsidR="001D2E2B" w:rsidRDefault="001D2E2B" w:rsidP="001D2E2B">
      <w:pPr>
        <w:pStyle w:val="Default"/>
        <w:spacing w:after="240" w:line="360" w:lineRule="auto"/>
        <w:jc w:val="both"/>
        <w:rPr>
          <w:color w:val="auto"/>
          <w:sz w:val="23"/>
          <w:szCs w:val="23"/>
        </w:rPr>
      </w:pPr>
      <w:r>
        <w:rPr>
          <w:color w:val="auto"/>
          <w:sz w:val="23"/>
          <w:szCs w:val="23"/>
        </w:rPr>
        <w:t xml:space="preserve">(iii) intended dates of the </w:t>
      </w:r>
      <w:proofErr w:type="gramStart"/>
      <w:r>
        <w:rPr>
          <w:color w:val="auto"/>
          <w:sz w:val="23"/>
          <w:szCs w:val="23"/>
        </w:rPr>
        <w:t>Fellowship;</w:t>
      </w:r>
      <w:proofErr w:type="gramEnd"/>
      <w:r>
        <w:rPr>
          <w:color w:val="auto"/>
          <w:sz w:val="23"/>
          <w:szCs w:val="23"/>
        </w:rPr>
        <w:t xml:space="preserve"> </w:t>
      </w:r>
    </w:p>
    <w:p w14:paraId="188A4677" w14:textId="77777777" w:rsidR="001D2E2B" w:rsidRDefault="001D2E2B" w:rsidP="001D2E2B">
      <w:pPr>
        <w:pStyle w:val="Default"/>
        <w:spacing w:after="240" w:line="360" w:lineRule="auto"/>
        <w:jc w:val="both"/>
        <w:rPr>
          <w:color w:val="auto"/>
          <w:sz w:val="23"/>
          <w:szCs w:val="23"/>
        </w:rPr>
      </w:pPr>
      <w:r>
        <w:rPr>
          <w:color w:val="auto"/>
          <w:sz w:val="23"/>
          <w:szCs w:val="23"/>
        </w:rPr>
        <w:t xml:space="preserve">(iv) intended collaborators during the </w:t>
      </w:r>
      <w:proofErr w:type="gramStart"/>
      <w:r>
        <w:rPr>
          <w:color w:val="auto"/>
          <w:sz w:val="23"/>
          <w:szCs w:val="23"/>
        </w:rPr>
        <w:t>Fellowship;</w:t>
      </w:r>
      <w:proofErr w:type="gramEnd"/>
    </w:p>
    <w:p w14:paraId="0BBDF7E9" w14:textId="77777777" w:rsidR="001D2E2B" w:rsidRDefault="001D2E2B" w:rsidP="001D2E2B">
      <w:pPr>
        <w:pStyle w:val="Default"/>
        <w:spacing w:after="240" w:line="360" w:lineRule="auto"/>
        <w:jc w:val="both"/>
        <w:rPr>
          <w:color w:val="auto"/>
          <w:sz w:val="23"/>
          <w:szCs w:val="23"/>
        </w:rPr>
      </w:pPr>
      <w:r>
        <w:rPr>
          <w:color w:val="auto"/>
          <w:sz w:val="23"/>
          <w:szCs w:val="23"/>
        </w:rPr>
        <w:t xml:space="preserve">(v) the subject area within Hispanic and Luso-Brazilian Studies to which the fellowship activity </w:t>
      </w:r>
      <w:proofErr w:type="gramStart"/>
      <w:r>
        <w:rPr>
          <w:color w:val="auto"/>
          <w:sz w:val="23"/>
          <w:szCs w:val="23"/>
        </w:rPr>
        <w:t>relates;</w:t>
      </w:r>
      <w:proofErr w:type="gramEnd"/>
      <w:r>
        <w:rPr>
          <w:color w:val="auto"/>
          <w:sz w:val="23"/>
          <w:szCs w:val="23"/>
        </w:rPr>
        <w:t xml:space="preserve"> </w:t>
      </w:r>
    </w:p>
    <w:p w14:paraId="11DC4D5C" w14:textId="77777777" w:rsidR="001D2E2B" w:rsidRDefault="001D2E2B" w:rsidP="001D2E2B">
      <w:pPr>
        <w:pStyle w:val="Default"/>
        <w:spacing w:after="240" w:line="360" w:lineRule="auto"/>
        <w:jc w:val="both"/>
        <w:rPr>
          <w:color w:val="auto"/>
          <w:sz w:val="23"/>
          <w:szCs w:val="23"/>
        </w:rPr>
      </w:pPr>
      <w:r>
        <w:rPr>
          <w:color w:val="auto"/>
          <w:sz w:val="23"/>
          <w:szCs w:val="23"/>
        </w:rPr>
        <w:t xml:space="preserve">(vi) planned activities, including visits to and lectures/seminars at other </w:t>
      </w:r>
      <w:proofErr w:type="gramStart"/>
      <w:r>
        <w:rPr>
          <w:color w:val="auto"/>
          <w:sz w:val="23"/>
          <w:szCs w:val="23"/>
        </w:rPr>
        <w:t>institutions;</w:t>
      </w:r>
      <w:proofErr w:type="gramEnd"/>
    </w:p>
    <w:p w14:paraId="4B90803D" w14:textId="77777777" w:rsidR="001D2E2B" w:rsidRDefault="001D2E2B" w:rsidP="001D2E2B">
      <w:pPr>
        <w:pStyle w:val="Default"/>
        <w:spacing w:after="240" w:line="360" w:lineRule="auto"/>
        <w:jc w:val="both"/>
        <w:rPr>
          <w:color w:val="auto"/>
          <w:sz w:val="23"/>
          <w:szCs w:val="23"/>
        </w:rPr>
      </w:pPr>
      <w:r>
        <w:rPr>
          <w:color w:val="auto"/>
          <w:sz w:val="23"/>
          <w:szCs w:val="23"/>
        </w:rPr>
        <w:t xml:space="preserve">(vii) any other anticipated outputs or </w:t>
      </w:r>
      <w:proofErr w:type="gramStart"/>
      <w:r>
        <w:rPr>
          <w:color w:val="auto"/>
          <w:sz w:val="23"/>
          <w:szCs w:val="23"/>
        </w:rPr>
        <w:t>outcomes;</w:t>
      </w:r>
      <w:proofErr w:type="gramEnd"/>
    </w:p>
    <w:p w14:paraId="01947862" w14:textId="77777777" w:rsidR="001D2E2B" w:rsidRDefault="001D2E2B" w:rsidP="001D2E2B">
      <w:pPr>
        <w:pStyle w:val="Default"/>
        <w:spacing w:after="240" w:line="360" w:lineRule="auto"/>
        <w:jc w:val="both"/>
        <w:rPr>
          <w:color w:val="auto"/>
          <w:sz w:val="23"/>
          <w:szCs w:val="23"/>
        </w:rPr>
      </w:pPr>
      <w:r>
        <w:rPr>
          <w:color w:val="auto"/>
          <w:sz w:val="23"/>
          <w:szCs w:val="23"/>
        </w:rPr>
        <w:t xml:space="preserve">(viii) a draft budget, clearly detailing the amount requested, and the purpose to which it will be </w:t>
      </w:r>
      <w:proofErr w:type="gramStart"/>
      <w:r>
        <w:rPr>
          <w:color w:val="auto"/>
          <w:sz w:val="23"/>
          <w:szCs w:val="23"/>
        </w:rPr>
        <w:t>put;</w:t>
      </w:r>
      <w:proofErr w:type="gramEnd"/>
    </w:p>
    <w:p w14:paraId="37DB015F" w14:textId="77777777" w:rsidR="001D2E2B" w:rsidRDefault="001D2E2B" w:rsidP="001D2E2B">
      <w:pPr>
        <w:pStyle w:val="Default"/>
        <w:spacing w:after="240" w:line="360" w:lineRule="auto"/>
        <w:jc w:val="both"/>
        <w:rPr>
          <w:color w:val="auto"/>
          <w:sz w:val="23"/>
          <w:szCs w:val="23"/>
        </w:rPr>
      </w:pPr>
      <w:r>
        <w:rPr>
          <w:color w:val="auto"/>
          <w:sz w:val="23"/>
          <w:szCs w:val="23"/>
        </w:rPr>
        <w:t xml:space="preserve">(ix) details, where relevant, of other applications for, or commitments to, funding relating to the research in </w:t>
      </w:r>
      <w:proofErr w:type="gramStart"/>
      <w:r>
        <w:rPr>
          <w:color w:val="auto"/>
          <w:sz w:val="23"/>
          <w:szCs w:val="23"/>
        </w:rPr>
        <w:t>question;</w:t>
      </w:r>
      <w:proofErr w:type="gramEnd"/>
      <w:r>
        <w:rPr>
          <w:color w:val="auto"/>
          <w:sz w:val="23"/>
          <w:szCs w:val="23"/>
        </w:rPr>
        <w:t xml:space="preserve"> </w:t>
      </w:r>
    </w:p>
    <w:p w14:paraId="67D07513" w14:textId="77777777" w:rsidR="001D2E2B" w:rsidRDefault="001D2E2B" w:rsidP="001D2E2B">
      <w:pPr>
        <w:pStyle w:val="Default"/>
        <w:spacing w:after="240" w:line="360" w:lineRule="auto"/>
        <w:jc w:val="both"/>
        <w:rPr>
          <w:color w:val="auto"/>
          <w:sz w:val="23"/>
          <w:szCs w:val="23"/>
        </w:rPr>
      </w:pPr>
      <w:r>
        <w:rPr>
          <w:color w:val="auto"/>
          <w:sz w:val="23"/>
          <w:szCs w:val="23"/>
        </w:rPr>
        <w:t xml:space="preserve">(x) an undertaking to abide by the conditions of the award, if </w:t>
      </w:r>
      <w:proofErr w:type="gramStart"/>
      <w:r>
        <w:rPr>
          <w:color w:val="auto"/>
          <w:sz w:val="23"/>
          <w:szCs w:val="23"/>
        </w:rPr>
        <w:t>successful;</w:t>
      </w:r>
      <w:proofErr w:type="gramEnd"/>
    </w:p>
    <w:p w14:paraId="43283DDB" w14:textId="77777777" w:rsidR="001D2E2B" w:rsidRDefault="001D2E2B" w:rsidP="001D2E2B">
      <w:pPr>
        <w:pStyle w:val="Default"/>
        <w:spacing w:after="240" w:line="360" w:lineRule="auto"/>
        <w:jc w:val="both"/>
        <w:rPr>
          <w:color w:val="auto"/>
          <w:sz w:val="23"/>
          <w:szCs w:val="23"/>
        </w:rPr>
      </w:pPr>
      <w:r>
        <w:rPr>
          <w:color w:val="auto"/>
          <w:sz w:val="23"/>
          <w:szCs w:val="23"/>
        </w:rPr>
        <w:t xml:space="preserve">(xi) confirmation that the host applicant is a member of the </w:t>
      </w:r>
      <w:r>
        <w:rPr>
          <w:iCs/>
          <w:color w:val="auto"/>
          <w:sz w:val="23"/>
          <w:szCs w:val="23"/>
        </w:rPr>
        <w:t>AHGBI</w:t>
      </w:r>
      <w:r>
        <w:rPr>
          <w:color w:val="auto"/>
          <w:sz w:val="23"/>
          <w:szCs w:val="23"/>
        </w:rPr>
        <w:t>.</w:t>
      </w:r>
    </w:p>
    <w:p w14:paraId="739888B1" w14:textId="77777777" w:rsidR="00DC5D87" w:rsidRDefault="00DC5D87" w:rsidP="00DC5D87">
      <w:pPr>
        <w:pStyle w:val="NormalWeb"/>
        <w:pBdr>
          <w:top w:val="single" w:sz="2" w:space="0" w:color="auto"/>
          <w:left w:val="single" w:sz="2" w:space="0" w:color="auto"/>
          <w:bottom w:val="single" w:sz="2" w:space="0" w:color="auto"/>
          <w:right w:val="single" w:sz="2" w:space="0" w:color="auto"/>
        </w:pBdr>
        <w:shd w:val="clear" w:color="auto" w:fill="F8F8F8"/>
        <w:spacing w:before="0" w:beforeAutospacing="0" w:after="0" w:afterAutospacing="0"/>
        <w:rPr>
          <w:rFonts w:ascii="Georgia" w:hAnsi="Georgia"/>
          <w:color w:val="000000"/>
          <w:sz w:val="27"/>
          <w:szCs w:val="27"/>
        </w:rPr>
      </w:pPr>
      <w:r>
        <w:rPr>
          <w:rStyle w:val="Strong"/>
          <w:rFonts w:ascii="Georgia" w:hAnsi="Georgia"/>
          <w:color w:val="000000"/>
          <w:sz w:val="27"/>
          <w:szCs w:val="27"/>
          <w:bdr w:val="single" w:sz="2" w:space="0" w:color="auto" w:frame="1"/>
        </w:rPr>
        <w:t>Deadline for applications:</w:t>
      </w:r>
      <w:r>
        <w:rPr>
          <w:rStyle w:val="apple-converted-space"/>
          <w:rFonts w:ascii="Georgia" w:hAnsi="Georgia"/>
          <w:b/>
          <w:bCs/>
          <w:color w:val="000000"/>
          <w:sz w:val="27"/>
          <w:szCs w:val="27"/>
          <w:bdr w:val="single" w:sz="2" w:space="0" w:color="auto" w:frame="1"/>
        </w:rPr>
        <w:t> </w:t>
      </w:r>
      <w:r>
        <w:rPr>
          <w:rStyle w:val="numbers"/>
          <w:rFonts w:ascii="Georgia" w:hAnsi="Georgia"/>
          <w:b/>
          <w:bCs/>
          <w:color w:val="000000"/>
          <w:sz w:val="27"/>
          <w:szCs w:val="27"/>
          <w:bdr w:val="single" w:sz="2" w:space="0" w:color="auto" w:frame="1"/>
        </w:rPr>
        <w:t>26</w:t>
      </w:r>
      <w:r>
        <w:rPr>
          <w:rStyle w:val="Strong"/>
          <w:rFonts w:ascii="Georgia" w:hAnsi="Georgia"/>
          <w:color w:val="000000"/>
          <w:sz w:val="20"/>
          <w:szCs w:val="20"/>
          <w:bdr w:val="single" w:sz="2" w:space="0" w:color="auto" w:frame="1"/>
          <w:vertAlign w:val="superscript"/>
        </w:rPr>
        <w:t>th</w:t>
      </w:r>
      <w:r>
        <w:rPr>
          <w:rStyle w:val="apple-converted-space"/>
          <w:rFonts w:ascii="Georgia" w:hAnsi="Georgia"/>
          <w:b/>
          <w:bCs/>
          <w:color w:val="000000"/>
          <w:sz w:val="27"/>
          <w:szCs w:val="27"/>
          <w:bdr w:val="single" w:sz="2" w:space="0" w:color="auto" w:frame="1"/>
        </w:rPr>
        <w:t> </w:t>
      </w:r>
      <w:r>
        <w:rPr>
          <w:rStyle w:val="Strong"/>
          <w:rFonts w:ascii="Georgia" w:hAnsi="Georgia"/>
          <w:color w:val="000000"/>
          <w:sz w:val="27"/>
          <w:szCs w:val="27"/>
          <w:bdr w:val="single" w:sz="2" w:space="0" w:color="auto" w:frame="1"/>
        </w:rPr>
        <w:t>September</w:t>
      </w:r>
      <w:r>
        <w:rPr>
          <w:rStyle w:val="apple-converted-space"/>
          <w:rFonts w:ascii="Georgia" w:hAnsi="Georgia"/>
          <w:b/>
          <w:bCs/>
          <w:color w:val="000000"/>
          <w:sz w:val="27"/>
          <w:szCs w:val="27"/>
          <w:bdr w:val="single" w:sz="2" w:space="0" w:color="auto" w:frame="1"/>
        </w:rPr>
        <w:t> </w:t>
      </w:r>
      <w:r>
        <w:rPr>
          <w:rStyle w:val="numbers"/>
          <w:rFonts w:ascii="Georgia" w:hAnsi="Georgia"/>
          <w:b/>
          <w:bCs/>
          <w:color w:val="000000"/>
          <w:sz w:val="27"/>
          <w:szCs w:val="27"/>
          <w:bdr w:val="single" w:sz="2" w:space="0" w:color="auto" w:frame="1"/>
        </w:rPr>
        <w:t>2025</w:t>
      </w:r>
      <w:r>
        <w:rPr>
          <w:rStyle w:val="Strong"/>
          <w:rFonts w:ascii="Georgia" w:hAnsi="Georgia"/>
          <w:color w:val="000000"/>
          <w:sz w:val="27"/>
          <w:szCs w:val="27"/>
          <w:bdr w:val="single" w:sz="2" w:space="0" w:color="auto" w:frame="1"/>
        </w:rPr>
        <w:t>,</w:t>
      </w:r>
      <w:r>
        <w:rPr>
          <w:rStyle w:val="apple-converted-space"/>
          <w:rFonts w:ascii="Georgia" w:hAnsi="Georgia"/>
          <w:b/>
          <w:bCs/>
          <w:color w:val="000000"/>
          <w:sz w:val="27"/>
          <w:szCs w:val="27"/>
          <w:bdr w:val="single" w:sz="2" w:space="0" w:color="auto" w:frame="1"/>
        </w:rPr>
        <w:t> </w:t>
      </w:r>
      <w:r>
        <w:rPr>
          <w:rStyle w:val="numbers"/>
          <w:rFonts w:ascii="Georgia" w:hAnsi="Georgia"/>
          <w:b/>
          <w:bCs/>
          <w:color w:val="000000"/>
          <w:sz w:val="27"/>
          <w:szCs w:val="27"/>
          <w:bdr w:val="single" w:sz="2" w:space="0" w:color="auto" w:frame="1"/>
        </w:rPr>
        <w:t>5</w:t>
      </w:r>
      <w:r>
        <w:rPr>
          <w:rStyle w:val="Strong"/>
          <w:rFonts w:ascii="Georgia" w:hAnsi="Georgia"/>
          <w:color w:val="000000"/>
          <w:sz w:val="27"/>
          <w:szCs w:val="27"/>
          <w:bdr w:val="single" w:sz="2" w:space="0" w:color="auto" w:frame="1"/>
        </w:rPr>
        <w:t>.</w:t>
      </w:r>
      <w:r>
        <w:rPr>
          <w:rStyle w:val="numbers"/>
          <w:rFonts w:ascii="Georgia" w:hAnsi="Georgia"/>
          <w:b/>
          <w:bCs/>
          <w:color w:val="000000"/>
          <w:sz w:val="27"/>
          <w:szCs w:val="27"/>
          <w:bdr w:val="single" w:sz="2" w:space="0" w:color="auto" w:frame="1"/>
        </w:rPr>
        <w:t>00</w:t>
      </w:r>
      <w:r>
        <w:rPr>
          <w:rStyle w:val="Strong"/>
          <w:rFonts w:ascii="Georgia" w:hAnsi="Georgia"/>
          <w:color w:val="000000"/>
          <w:sz w:val="27"/>
          <w:szCs w:val="27"/>
          <w:bdr w:val="single" w:sz="2" w:space="0" w:color="auto" w:frame="1"/>
        </w:rPr>
        <w:t> pm</w:t>
      </w:r>
    </w:p>
    <w:p w14:paraId="3DC0F313" w14:textId="77777777" w:rsidR="00DC5D87" w:rsidRDefault="00DC5D87" w:rsidP="00DC5D87">
      <w:pPr>
        <w:pStyle w:val="NormalWeb"/>
        <w:pBdr>
          <w:top w:val="single" w:sz="2" w:space="0" w:color="auto"/>
          <w:left w:val="single" w:sz="2" w:space="0" w:color="auto"/>
          <w:bottom w:val="single" w:sz="2" w:space="0" w:color="auto"/>
          <w:right w:val="single" w:sz="2" w:space="0" w:color="auto"/>
        </w:pBdr>
        <w:shd w:val="clear" w:color="auto" w:fill="F8F8F8"/>
        <w:rPr>
          <w:rFonts w:ascii="Georgia" w:hAnsi="Georgia"/>
          <w:color w:val="000000"/>
          <w:sz w:val="27"/>
          <w:szCs w:val="27"/>
        </w:rPr>
      </w:pPr>
      <w:r>
        <w:rPr>
          <w:rStyle w:val="Strong"/>
          <w:rFonts w:ascii="Georgia" w:hAnsi="Georgia"/>
          <w:color w:val="000000"/>
          <w:sz w:val="27"/>
          <w:szCs w:val="27"/>
          <w:bdr w:val="single" w:sz="2" w:space="0" w:color="auto" w:frame="1"/>
        </w:rPr>
        <w:t>Applications should be sent to:</w:t>
      </w:r>
    </w:p>
    <w:p w14:paraId="2E39F4A6" w14:textId="77777777" w:rsidR="00DC5D87" w:rsidRDefault="00DC5D87" w:rsidP="00DC5D87">
      <w:pPr>
        <w:pStyle w:val="NormalWeb"/>
        <w:pBdr>
          <w:top w:val="single" w:sz="2" w:space="0" w:color="auto"/>
          <w:left w:val="single" w:sz="2" w:space="0" w:color="auto"/>
          <w:bottom w:val="single" w:sz="2" w:space="0" w:color="auto"/>
          <w:right w:val="single" w:sz="2" w:space="0" w:color="auto"/>
        </w:pBdr>
        <w:shd w:val="clear" w:color="auto" w:fill="F8F8F8"/>
        <w:rPr>
          <w:rFonts w:ascii="Georgia" w:hAnsi="Georgia"/>
          <w:color w:val="000000"/>
          <w:sz w:val="27"/>
          <w:szCs w:val="27"/>
        </w:rPr>
      </w:pPr>
      <w:r>
        <w:rPr>
          <w:rFonts w:ascii="Georgia" w:hAnsi="Georgia"/>
          <w:color w:val="000000"/>
          <w:sz w:val="27"/>
          <w:szCs w:val="27"/>
        </w:rPr>
        <w:t>Dr Richard Huddleson:</w:t>
      </w:r>
      <w:r>
        <w:rPr>
          <w:rStyle w:val="apple-converted-space"/>
          <w:rFonts w:ascii="Georgia" w:hAnsi="Georgia"/>
          <w:color w:val="000000"/>
          <w:sz w:val="27"/>
          <w:szCs w:val="27"/>
        </w:rPr>
        <w:t> </w:t>
      </w:r>
      <w:hyperlink r:id="rId5" w:tgtFrame="_blank" w:history="1">
        <w:r>
          <w:rPr>
            <w:rStyle w:val="Hyperlink"/>
            <w:rFonts w:ascii="Georgia" w:hAnsi="Georgia"/>
            <w:sz w:val="27"/>
            <w:szCs w:val="27"/>
            <w:bdr w:val="single" w:sz="2" w:space="0" w:color="auto" w:frame="1"/>
          </w:rPr>
          <w:t>richard.</w:t>
        </w:r>
        <w:r>
          <w:rPr>
            <w:rStyle w:val="Hyperlink"/>
            <w:sz w:val="27"/>
            <w:szCs w:val="27"/>
            <w:bdr w:val="single" w:sz="2" w:space="0" w:color="auto" w:frame="1"/>
          </w:rPr>
          <w:t>​</w:t>
        </w:r>
        <w:r>
          <w:rPr>
            <w:rStyle w:val="Hyperlink"/>
            <w:rFonts w:ascii="Georgia" w:hAnsi="Georgia"/>
            <w:sz w:val="27"/>
            <w:szCs w:val="27"/>
            <w:bdr w:val="single" w:sz="2" w:space="0" w:color="auto" w:frame="1"/>
          </w:rPr>
          <w:t>huddleson@</w:t>
        </w:r>
        <w:r>
          <w:rPr>
            <w:rStyle w:val="Hyperlink"/>
            <w:sz w:val="27"/>
            <w:szCs w:val="27"/>
            <w:bdr w:val="single" w:sz="2" w:space="0" w:color="auto" w:frame="1"/>
          </w:rPr>
          <w:t>​</w:t>
        </w:r>
        <w:r>
          <w:rPr>
            <w:rStyle w:val="Hyperlink"/>
            <w:rFonts w:ascii="Georgia" w:hAnsi="Georgia"/>
            <w:sz w:val="27"/>
            <w:szCs w:val="27"/>
            <w:bdr w:val="single" w:sz="2" w:space="0" w:color="auto" w:frame="1"/>
          </w:rPr>
          <w:t>mu.</w:t>
        </w:r>
        <w:r>
          <w:rPr>
            <w:rStyle w:val="Hyperlink"/>
            <w:sz w:val="27"/>
            <w:szCs w:val="27"/>
            <w:bdr w:val="single" w:sz="2" w:space="0" w:color="auto" w:frame="1"/>
          </w:rPr>
          <w:t>​</w:t>
        </w:r>
        <w:r>
          <w:rPr>
            <w:rStyle w:val="Hyperlink"/>
            <w:rFonts w:ascii="Georgia" w:hAnsi="Georgia"/>
            <w:sz w:val="27"/>
            <w:szCs w:val="27"/>
            <w:bdr w:val="single" w:sz="2" w:space="0" w:color="auto" w:frame="1"/>
          </w:rPr>
          <w:t>ie</w:t>
        </w:r>
      </w:hyperlink>
    </w:p>
    <w:p w14:paraId="006B487E" w14:textId="77777777" w:rsidR="00DC5D87" w:rsidRDefault="00DC5D87" w:rsidP="00DC5D87">
      <w:pPr>
        <w:pStyle w:val="NormalWeb"/>
        <w:pBdr>
          <w:top w:val="single" w:sz="2" w:space="0" w:color="auto"/>
          <w:left w:val="single" w:sz="2" w:space="0" w:color="auto"/>
          <w:bottom w:val="single" w:sz="2" w:space="0" w:color="auto"/>
          <w:right w:val="single" w:sz="2" w:space="0" w:color="auto"/>
        </w:pBdr>
        <w:shd w:val="clear" w:color="auto" w:fill="F8F8F8"/>
        <w:rPr>
          <w:rFonts w:ascii="Georgia" w:hAnsi="Georgia"/>
          <w:color w:val="000000"/>
          <w:sz w:val="27"/>
          <w:szCs w:val="27"/>
        </w:rPr>
      </w:pPr>
      <w:r>
        <w:rPr>
          <w:rFonts w:ascii="Georgia" w:hAnsi="Georgia"/>
          <w:color w:val="000000"/>
          <w:sz w:val="27"/>
          <w:szCs w:val="27"/>
        </w:rPr>
        <w:t>Dr Richard Huddleson will acknowledge your application. If you do not hear from him within three working days, please contact him again to ensure safe receipt.</w:t>
      </w:r>
    </w:p>
    <w:p w14:paraId="26783E9D" w14:textId="77777777" w:rsidR="001D2E2B" w:rsidRDefault="001D2E2B" w:rsidP="001D2E2B">
      <w:pPr>
        <w:pStyle w:val="Default"/>
        <w:spacing w:line="360" w:lineRule="auto"/>
        <w:jc w:val="both"/>
        <w:rPr>
          <w:color w:val="auto"/>
          <w:sz w:val="23"/>
          <w:szCs w:val="23"/>
        </w:rPr>
      </w:pPr>
    </w:p>
    <w:p w14:paraId="6E06CD9F" w14:textId="77777777" w:rsidR="001D2E2B" w:rsidRDefault="001D2E2B" w:rsidP="001D2E2B">
      <w:pPr>
        <w:jc w:val="both"/>
        <w:rPr>
          <w:rFonts w:cs="Cambria"/>
          <w:b/>
          <w:bCs/>
          <w:sz w:val="23"/>
          <w:szCs w:val="23"/>
          <w:lang w:val="en-GB"/>
        </w:rPr>
      </w:pPr>
      <w:r>
        <w:rPr>
          <w:b/>
          <w:bCs/>
          <w:sz w:val="23"/>
          <w:szCs w:val="23"/>
        </w:rPr>
        <w:br w:type="page"/>
      </w:r>
    </w:p>
    <w:p w14:paraId="4821CDAC" w14:textId="77777777" w:rsidR="001D2E2B" w:rsidRDefault="001D2E2B" w:rsidP="001D2E2B">
      <w:pPr>
        <w:pStyle w:val="Default"/>
        <w:spacing w:after="240" w:line="360" w:lineRule="auto"/>
        <w:jc w:val="both"/>
        <w:rPr>
          <w:color w:val="auto"/>
          <w:sz w:val="23"/>
          <w:szCs w:val="23"/>
        </w:rPr>
      </w:pPr>
      <w:r>
        <w:rPr>
          <w:b/>
          <w:bCs/>
          <w:color w:val="auto"/>
          <w:sz w:val="23"/>
          <w:szCs w:val="23"/>
        </w:rPr>
        <w:lastRenderedPageBreak/>
        <w:t>Conditions of the Award</w:t>
      </w:r>
    </w:p>
    <w:p w14:paraId="53DC0983" w14:textId="03B759F3" w:rsidR="001D2E2B" w:rsidRDefault="001D2E2B" w:rsidP="001D2E2B">
      <w:pPr>
        <w:pStyle w:val="Default"/>
        <w:spacing w:after="240" w:line="360" w:lineRule="auto"/>
        <w:jc w:val="both"/>
        <w:rPr>
          <w:color w:val="auto"/>
          <w:sz w:val="23"/>
          <w:szCs w:val="23"/>
        </w:rPr>
      </w:pPr>
      <w:r>
        <w:rPr>
          <w:color w:val="auto"/>
          <w:sz w:val="23"/>
          <w:szCs w:val="23"/>
        </w:rPr>
        <w:t>The names of recipients will be announced on the AHGBI website. The visitor and UK or Irish host academic are required to submit a brief report to the AHGBI Executive Committee within one month of the end of the award’s tenure</w:t>
      </w:r>
      <w:r w:rsidR="00883B76">
        <w:rPr>
          <w:color w:val="auto"/>
          <w:sz w:val="23"/>
          <w:szCs w:val="23"/>
        </w:rPr>
        <w:t xml:space="preserve"> and the report will be made available on the AGHBI website</w:t>
      </w:r>
      <w:r>
        <w:rPr>
          <w:color w:val="auto"/>
          <w:sz w:val="23"/>
          <w:szCs w:val="23"/>
        </w:rPr>
        <w:t xml:space="preserve">. The </w:t>
      </w:r>
      <w:r>
        <w:rPr>
          <w:iCs/>
          <w:color w:val="auto"/>
          <w:sz w:val="23"/>
          <w:szCs w:val="23"/>
        </w:rPr>
        <w:t>Association’s</w:t>
      </w:r>
      <w:r>
        <w:rPr>
          <w:color w:val="auto"/>
          <w:sz w:val="23"/>
          <w:szCs w:val="23"/>
        </w:rPr>
        <w:t xml:space="preserve"> support should be acknowledged in any publications arising directly from the award, and these outcomes should be listed in the report, even if publication is pending or still in preparation. In addition, the host institution is required to submit a final statement of expenditure within four weeks of the end of the fellowship to the Treasurer of the AHGBI</w:t>
      </w:r>
      <w:r w:rsidR="00DC5D87">
        <w:rPr>
          <w:color w:val="auto"/>
          <w:sz w:val="23"/>
          <w:szCs w:val="23"/>
        </w:rPr>
        <w:t xml:space="preserve">. </w:t>
      </w:r>
    </w:p>
    <w:p w14:paraId="3B65D21D" w14:textId="77777777" w:rsidR="001D2E2B" w:rsidRDefault="001D2E2B" w:rsidP="001D2E2B">
      <w:pPr>
        <w:pStyle w:val="Default"/>
        <w:spacing w:after="240" w:line="360" w:lineRule="auto"/>
        <w:jc w:val="both"/>
      </w:pPr>
      <w:r>
        <w:rPr>
          <w:color w:val="auto"/>
          <w:sz w:val="23"/>
          <w:szCs w:val="23"/>
        </w:rPr>
        <w:t xml:space="preserve"> The host institution must undertake the following: (</w:t>
      </w:r>
      <w:proofErr w:type="spellStart"/>
      <w:r>
        <w:rPr>
          <w:color w:val="auto"/>
          <w:sz w:val="23"/>
          <w:szCs w:val="23"/>
        </w:rPr>
        <w:t>i</w:t>
      </w:r>
      <w:proofErr w:type="spellEnd"/>
      <w:r>
        <w:rPr>
          <w:color w:val="auto"/>
          <w:sz w:val="23"/>
          <w:szCs w:val="23"/>
        </w:rPr>
        <w:t>) to meet all overhead and departmental costs; (ii) to provide facilities (including departmental membership, office consumables and other usual privileges) at a level commensurate with the conditions enjoyed by existing staff of the same level; (iii) to manage all necessary arrangements relating to the visitor’s health insurance, visa and tax requirements.</w:t>
      </w:r>
    </w:p>
    <w:p w14:paraId="4C3A6F1D" w14:textId="77777777" w:rsidR="001D2E2B" w:rsidRDefault="001D2E2B" w:rsidP="001D2E2B">
      <w:pPr>
        <w:widowControl w:val="0"/>
        <w:autoSpaceDE w:val="0"/>
        <w:autoSpaceDN w:val="0"/>
        <w:adjustRightInd w:val="0"/>
        <w:jc w:val="both"/>
      </w:pPr>
    </w:p>
    <w:p w14:paraId="78C5776F" w14:textId="77777777" w:rsidR="001D2E2B" w:rsidRDefault="001D2E2B" w:rsidP="001D2E2B"/>
    <w:p w14:paraId="255EFAD5" w14:textId="77777777" w:rsidR="007B5AAB" w:rsidRDefault="007B5AAB"/>
    <w:sectPr w:rsidR="007B5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68"/>
    <w:rsid w:val="000F4B74"/>
    <w:rsid w:val="00140C37"/>
    <w:rsid w:val="00187A4A"/>
    <w:rsid w:val="001D2E2B"/>
    <w:rsid w:val="00250976"/>
    <w:rsid w:val="007B5AAB"/>
    <w:rsid w:val="00883B76"/>
    <w:rsid w:val="009569DE"/>
    <w:rsid w:val="009E53F6"/>
    <w:rsid w:val="00A03D7B"/>
    <w:rsid w:val="00AD0B6B"/>
    <w:rsid w:val="00BA4961"/>
    <w:rsid w:val="00C81868"/>
    <w:rsid w:val="00C91D52"/>
    <w:rsid w:val="00CF7545"/>
    <w:rsid w:val="00DC5D87"/>
    <w:rsid w:val="00DF20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4631"/>
  <w15:chartTrackingRefBased/>
  <w15:docId w15:val="{EEECE829-B2DF-4CD0-8B28-B1420846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E2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2E2B"/>
    <w:rPr>
      <w:color w:val="0563C1" w:themeColor="hyperlink"/>
      <w:u w:val="single"/>
    </w:rPr>
  </w:style>
  <w:style w:type="paragraph" w:customStyle="1" w:styleId="Default">
    <w:name w:val="Default"/>
    <w:rsid w:val="001D2E2B"/>
    <w:pPr>
      <w:autoSpaceDE w:val="0"/>
      <w:autoSpaceDN w:val="0"/>
      <w:adjustRightInd w:val="0"/>
      <w:spacing w:after="0" w:line="240" w:lineRule="auto"/>
    </w:pPr>
    <w:rPr>
      <w:rFonts w:ascii="Cambria" w:hAnsi="Cambria" w:cs="Cambria"/>
      <w:color w:val="000000"/>
      <w:kern w:val="0"/>
      <w:sz w:val="24"/>
      <w:szCs w:val="24"/>
      <w:lang w:val="en-GB"/>
      <w14:ligatures w14:val="none"/>
    </w:rPr>
  </w:style>
  <w:style w:type="table" w:styleId="TableGrid">
    <w:name w:val="Table Grid"/>
    <w:basedOn w:val="TableNormal"/>
    <w:uiPriority w:val="59"/>
    <w:rsid w:val="001D2E2B"/>
    <w:pPr>
      <w:spacing w:after="0" w:line="240" w:lineRule="auto"/>
    </w:pPr>
    <w:rPr>
      <w:rFonts w:ascii="Cambria" w:eastAsia="MS Mincho" w:hAnsi="Cambria"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D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C5D87"/>
    <w:rPr>
      <w:b/>
      <w:bCs/>
    </w:rPr>
  </w:style>
  <w:style w:type="character" w:customStyle="1" w:styleId="apple-converted-space">
    <w:name w:val="apple-converted-space"/>
    <w:basedOn w:val="DefaultParagraphFont"/>
    <w:rsid w:val="00DC5D87"/>
  </w:style>
  <w:style w:type="character" w:customStyle="1" w:styleId="numbers">
    <w:name w:val="numbers"/>
    <w:basedOn w:val="DefaultParagraphFont"/>
    <w:rsid w:val="00DC5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4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chard.huddleson@mu.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1112</Words>
  <Characters>6343</Characters>
  <Application>Microsoft Office Word</Application>
  <DocSecurity>0</DocSecurity>
  <Lines>52</Lines>
  <Paragraphs>14</Paragraphs>
  <ScaleCrop>false</ScaleCrop>
  <Company>University College Cork</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Veiga</dc:creator>
  <cp:keywords/>
  <dc:description/>
  <cp:lastModifiedBy>Richard Huddleson - Riocárd Ó hOddail</cp:lastModifiedBy>
  <cp:revision>3</cp:revision>
  <dcterms:created xsi:type="dcterms:W3CDTF">2025-07-23T10:48:00Z</dcterms:created>
  <dcterms:modified xsi:type="dcterms:W3CDTF">2025-07-23T11:13:00Z</dcterms:modified>
</cp:coreProperties>
</file>